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D8D8" w14:textId="2BD2F4E0" w:rsidR="004E7CEA" w:rsidRPr="003960FA" w:rsidRDefault="004E7CEA" w:rsidP="004E7CEA">
      <w:pPr>
        <w:jc w:val="center"/>
        <w:rPr>
          <w:rFonts w:ascii="Corbel" w:hAnsi="Corbel"/>
          <w:b/>
          <w:color w:val="808080" w:themeColor="background1" w:themeShade="80"/>
          <w:sz w:val="40"/>
        </w:rPr>
      </w:pPr>
    </w:p>
    <w:p w14:paraId="3B670553" w14:textId="77777777" w:rsidR="00450B3A" w:rsidRPr="003A184B" w:rsidRDefault="00450B3A" w:rsidP="00450B3A">
      <w:pPr>
        <w:jc w:val="center"/>
        <w:rPr>
          <w:rFonts w:asciiTheme="minorBidi" w:hAnsiTheme="minorBidi"/>
        </w:rPr>
      </w:pPr>
      <w:r w:rsidRPr="003A184B">
        <w:rPr>
          <w:rFonts w:asciiTheme="minorBidi" w:hAnsiTheme="minorBidi"/>
          <w:noProof/>
        </w:rPr>
        <w:drawing>
          <wp:inline distT="0" distB="0" distL="0" distR="0" wp14:anchorId="44169C2F" wp14:editId="54D59B57">
            <wp:extent cx="1354914" cy="950462"/>
            <wp:effectExtent l="0" t="0" r="0" b="254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7786" cy="959492"/>
                    </a:xfrm>
                    <a:prstGeom prst="rect">
                      <a:avLst/>
                    </a:prstGeom>
                    <a:noFill/>
                    <a:ln>
                      <a:noFill/>
                    </a:ln>
                  </pic:spPr>
                </pic:pic>
              </a:graphicData>
            </a:graphic>
          </wp:inline>
        </w:drawing>
      </w:r>
    </w:p>
    <w:p w14:paraId="21EED265" w14:textId="77777777" w:rsidR="00450B3A" w:rsidRPr="003A184B" w:rsidRDefault="00450B3A" w:rsidP="00450B3A">
      <w:pPr>
        <w:jc w:val="center"/>
        <w:rPr>
          <w:rFonts w:asciiTheme="minorBidi" w:hAnsiTheme="minorBidi"/>
          <w:b/>
          <w:bCs/>
          <w:color w:val="385623" w:themeColor="accent6" w:themeShade="80"/>
          <w:sz w:val="28"/>
          <w:szCs w:val="28"/>
          <w:shd w:val="clear" w:color="auto" w:fill="FFFFFF"/>
        </w:rPr>
      </w:pPr>
    </w:p>
    <w:p w14:paraId="620A3B24" w14:textId="77777777" w:rsidR="00450B3A" w:rsidRPr="003A184B" w:rsidRDefault="00450B3A" w:rsidP="00450B3A">
      <w:pPr>
        <w:jc w:val="center"/>
        <w:rPr>
          <w:rFonts w:asciiTheme="minorBidi" w:hAnsiTheme="minorBidi"/>
          <w:b/>
          <w:bCs/>
          <w:color w:val="385623" w:themeColor="accent6" w:themeShade="80"/>
          <w:sz w:val="28"/>
          <w:szCs w:val="28"/>
          <w:shd w:val="clear" w:color="auto" w:fill="FFFFFF"/>
        </w:rPr>
      </w:pPr>
    </w:p>
    <w:p w14:paraId="33A17646" w14:textId="77777777" w:rsidR="00450B3A" w:rsidRPr="003A184B" w:rsidRDefault="00450B3A" w:rsidP="00450B3A">
      <w:pPr>
        <w:jc w:val="center"/>
        <w:rPr>
          <w:rFonts w:asciiTheme="minorBidi" w:hAnsiTheme="minorBidi"/>
        </w:rPr>
      </w:pPr>
    </w:p>
    <w:p w14:paraId="54433D6F" w14:textId="77777777" w:rsidR="00450B3A" w:rsidRPr="003A184B" w:rsidRDefault="00450B3A" w:rsidP="00450B3A">
      <w:pPr>
        <w:jc w:val="center"/>
        <w:rPr>
          <w:rFonts w:ascii="Corbel" w:hAnsi="Corbel"/>
          <w:b/>
          <w:sz w:val="36"/>
          <w:szCs w:val="36"/>
        </w:rPr>
      </w:pPr>
      <w:r w:rsidRPr="003A184B">
        <w:rPr>
          <w:rFonts w:ascii="Corbel" w:hAnsi="Corbel"/>
          <w:b/>
          <w:sz w:val="36"/>
          <w:szCs w:val="36"/>
        </w:rPr>
        <w:t>PROJET DE RESILIENCE ET DURABILITE DE L’IRRIGATION (REDI)</w:t>
      </w:r>
    </w:p>
    <w:p w14:paraId="3298BBA5" w14:textId="77777777" w:rsidR="00450B3A" w:rsidRPr="003A184B" w:rsidRDefault="00450B3A" w:rsidP="00450B3A">
      <w:pPr>
        <w:jc w:val="center"/>
        <w:rPr>
          <w:rFonts w:ascii="Corbel" w:hAnsi="Corbel"/>
          <w:b/>
          <w:sz w:val="36"/>
          <w:szCs w:val="36"/>
        </w:rPr>
      </w:pPr>
    </w:p>
    <w:p w14:paraId="28636722" w14:textId="77777777" w:rsidR="00450B3A" w:rsidRPr="003A184B" w:rsidRDefault="00450B3A" w:rsidP="00450B3A">
      <w:pPr>
        <w:jc w:val="center"/>
        <w:rPr>
          <w:rFonts w:asciiTheme="minorBidi" w:hAnsiTheme="minorBidi"/>
        </w:rPr>
      </w:pPr>
    </w:p>
    <w:p w14:paraId="0878540E" w14:textId="77777777" w:rsidR="00450B3A" w:rsidRPr="003A184B" w:rsidRDefault="00450B3A" w:rsidP="00450B3A">
      <w:pPr>
        <w:jc w:val="center"/>
        <w:rPr>
          <w:rFonts w:asciiTheme="minorBidi" w:hAnsiTheme="minorBidi"/>
        </w:rPr>
      </w:pPr>
    </w:p>
    <w:p w14:paraId="0B3D4241" w14:textId="77777777" w:rsidR="00450B3A" w:rsidRPr="003A184B" w:rsidRDefault="00450B3A" w:rsidP="00450B3A">
      <w:pPr>
        <w:jc w:val="center"/>
        <w:rPr>
          <w:rFonts w:asciiTheme="minorBidi" w:hAnsiTheme="minorBidi"/>
        </w:rPr>
      </w:pPr>
    </w:p>
    <w:p w14:paraId="4DA2D8DC" w14:textId="77777777" w:rsidR="004E7CEA" w:rsidRPr="003A184B" w:rsidRDefault="004E7CEA" w:rsidP="004E7CEA">
      <w:pPr>
        <w:jc w:val="center"/>
        <w:rPr>
          <w:rFonts w:ascii="Corbel" w:hAnsi="Corbel"/>
          <w:b/>
          <w:sz w:val="48"/>
        </w:rPr>
      </w:pPr>
    </w:p>
    <w:p w14:paraId="4DA2D8DE" w14:textId="77777777" w:rsidR="009804D3" w:rsidRPr="003A184B" w:rsidRDefault="009804D3" w:rsidP="009804D3">
      <w:pPr>
        <w:jc w:val="center"/>
        <w:rPr>
          <w:rFonts w:ascii="Corbel" w:hAnsi="Corbel"/>
          <w:b/>
          <w:sz w:val="48"/>
        </w:rPr>
      </w:pPr>
    </w:p>
    <w:p w14:paraId="4DA2D8DF" w14:textId="77777777" w:rsidR="004E7CEA" w:rsidRPr="003A184B" w:rsidRDefault="004E7CEA" w:rsidP="009804D3">
      <w:pPr>
        <w:jc w:val="center"/>
        <w:rPr>
          <w:rFonts w:ascii="Corbel" w:hAnsi="Corbel"/>
          <w:b/>
          <w:color w:val="4472C4" w:themeColor="accent1"/>
          <w:sz w:val="48"/>
          <w:szCs w:val="48"/>
        </w:rPr>
      </w:pPr>
      <w:r w:rsidRPr="003A184B">
        <w:rPr>
          <w:rFonts w:ascii="Corbel" w:hAnsi="Corbel"/>
          <w:b/>
          <w:color w:val="4472C4" w:themeColor="accent1"/>
          <w:sz w:val="48"/>
          <w:szCs w:val="48"/>
        </w:rPr>
        <w:t xml:space="preserve">PLAN D’ENGAGEMENT ENVIRONNEMENTAL ET SOCIAL (PEES) </w:t>
      </w:r>
    </w:p>
    <w:p w14:paraId="4DA2D8E0" w14:textId="77777777" w:rsidR="0075364D" w:rsidRPr="003A184B" w:rsidRDefault="004E7CEA" w:rsidP="004E7CEA">
      <w:pPr>
        <w:jc w:val="center"/>
        <w:rPr>
          <w:rFonts w:ascii="Corbel" w:hAnsi="Corbel"/>
          <w:b/>
          <w:color w:val="4472C4" w:themeColor="accent1"/>
          <w:sz w:val="48"/>
        </w:rPr>
      </w:pPr>
      <w:r w:rsidRPr="003A184B">
        <w:rPr>
          <w:rFonts w:ascii="Corbel" w:hAnsi="Corbel"/>
          <w:b/>
          <w:color w:val="4472C4" w:themeColor="accent1"/>
          <w:sz w:val="48"/>
        </w:rPr>
        <w:t xml:space="preserve"> </w:t>
      </w:r>
    </w:p>
    <w:p w14:paraId="4DA2D8E1" w14:textId="77777777" w:rsidR="000A0AEB" w:rsidRPr="003A184B" w:rsidRDefault="000A0AEB" w:rsidP="004E7CEA">
      <w:pPr>
        <w:jc w:val="center"/>
        <w:rPr>
          <w:rFonts w:ascii="Corbel" w:hAnsi="Corbel"/>
          <w:b/>
          <w:color w:val="4472C4" w:themeColor="accent1"/>
          <w:sz w:val="48"/>
        </w:rPr>
      </w:pPr>
    </w:p>
    <w:p w14:paraId="4DA2D8E2" w14:textId="17F70A00" w:rsidR="0075364D" w:rsidRPr="003A184B" w:rsidRDefault="00903D0A" w:rsidP="009804D3">
      <w:pPr>
        <w:jc w:val="center"/>
        <w:rPr>
          <w:rFonts w:ascii="Corbel" w:hAnsi="Corbel"/>
          <w:b/>
          <w:sz w:val="48"/>
        </w:rPr>
      </w:pPr>
      <w:r>
        <w:rPr>
          <w:rFonts w:ascii="Corbel" w:hAnsi="Corbel"/>
          <w:b/>
          <w:sz w:val="48"/>
        </w:rPr>
        <w:t xml:space="preserve">28 </w:t>
      </w:r>
      <w:proofErr w:type="gramStart"/>
      <w:r w:rsidR="00037DA5">
        <w:rPr>
          <w:rFonts w:ascii="Corbel" w:hAnsi="Corbel"/>
          <w:b/>
          <w:sz w:val="48"/>
        </w:rPr>
        <w:t>Février</w:t>
      </w:r>
      <w:proofErr w:type="gramEnd"/>
      <w:r w:rsidR="00037DA5">
        <w:rPr>
          <w:rFonts w:ascii="Corbel" w:hAnsi="Corbel"/>
          <w:b/>
          <w:sz w:val="48"/>
        </w:rPr>
        <w:t xml:space="preserve"> 2022</w:t>
      </w:r>
      <w:r w:rsidR="00037DA5" w:rsidRPr="003A184B">
        <w:rPr>
          <w:rFonts w:ascii="Corbel" w:hAnsi="Corbel"/>
          <w:b/>
          <w:sz w:val="48"/>
        </w:rPr>
        <w:t xml:space="preserve"> </w:t>
      </w:r>
    </w:p>
    <w:p w14:paraId="4DA2D8E3" w14:textId="77777777" w:rsidR="00A54559" w:rsidRPr="003A184B" w:rsidRDefault="004E7CEA" w:rsidP="004E7CEA">
      <w:pPr>
        <w:jc w:val="center"/>
        <w:rPr>
          <w:sz w:val="44"/>
        </w:rPr>
      </w:pPr>
      <w:r w:rsidRPr="003A184B">
        <w:br w:type="page"/>
      </w:r>
    </w:p>
    <w:p w14:paraId="4DA2D8E4" w14:textId="77777777" w:rsidR="000A0AEB" w:rsidRPr="003A184B" w:rsidRDefault="000A0AEB" w:rsidP="004E7CEA">
      <w:pPr>
        <w:jc w:val="center"/>
        <w:rPr>
          <w:rFonts w:ascii="Calibri" w:hAnsi="Calibri"/>
          <w:b/>
        </w:rPr>
      </w:pPr>
    </w:p>
    <w:p w14:paraId="4DA2D8E5" w14:textId="77777777" w:rsidR="004E7CEA" w:rsidRPr="003A184B" w:rsidRDefault="000A0AEB" w:rsidP="2748EF3C">
      <w:pPr>
        <w:jc w:val="center"/>
        <w:rPr>
          <w:rFonts w:ascii="Calibri" w:hAnsi="Calibri"/>
          <w:b/>
          <w:bCs/>
        </w:rPr>
      </w:pPr>
      <w:r w:rsidRPr="003A184B">
        <w:rPr>
          <w:rFonts w:ascii="Calibri" w:hAnsi="Calibri"/>
          <w:b/>
          <w:bCs/>
        </w:rPr>
        <w:t>PLAN D’ENGAGEMENT ENVIRONNEMENTAL ET SOCIAL</w:t>
      </w:r>
    </w:p>
    <w:p w14:paraId="4DA2D8E6" w14:textId="77777777" w:rsidR="000A0AEB" w:rsidRPr="003A184B" w:rsidRDefault="000A0AEB" w:rsidP="004E7CEA">
      <w:pPr>
        <w:jc w:val="center"/>
        <w:rPr>
          <w:rFonts w:ascii="Calibri" w:hAnsi="Calibri"/>
          <w:b/>
        </w:rPr>
      </w:pPr>
    </w:p>
    <w:p w14:paraId="304A20F3" w14:textId="20D6E81E" w:rsidR="00CA3E0A" w:rsidRPr="003A184B" w:rsidRDefault="00CA3E0A" w:rsidP="00F8178A">
      <w:pPr>
        <w:pStyle w:val="ListParagraph"/>
        <w:numPr>
          <w:ilvl w:val="0"/>
          <w:numId w:val="16"/>
        </w:numPr>
        <w:rPr>
          <w:rFonts w:ascii="Calibri" w:hAnsi="Calibri"/>
        </w:rPr>
      </w:pPr>
      <w:r w:rsidRPr="003A184B">
        <w:rPr>
          <w:rFonts w:ascii="Calibri" w:hAnsi="Calibri"/>
        </w:rPr>
        <w:t>Le Gouvernement du Royaume du Maroc, ci-après désigné l</w:t>
      </w:r>
      <w:r w:rsidR="00E021D5" w:rsidRPr="003A184B">
        <w:rPr>
          <w:rFonts w:ascii="Calibri" w:hAnsi="Calibri"/>
        </w:rPr>
        <w:t>’Emprunteur</w:t>
      </w:r>
      <w:r w:rsidRPr="003A184B">
        <w:rPr>
          <w:rFonts w:ascii="Calibri" w:hAnsi="Calibri"/>
        </w:rPr>
        <w:t xml:space="preserve">, mettra en œuvre le PROJET DE RESILIENCE ET DURABILITE DE L’IRRIGATION (REDI) (le </w:t>
      </w:r>
      <w:r w:rsidRPr="003A184B">
        <w:rPr>
          <w:rFonts w:ascii="Calibri" w:hAnsi="Calibri"/>
          <w:b/>
        </w:rPr>
        <w:t>Projet</w:t>
      </w:r>
      <w:r w:rsidRPr="003A184B">
        <w:rPr>
          <w:rFonts w:ascii="Calibri" w:hAnsi="Calibri"/>
        </w:rPr>
        <w:t xml:space="preserve">) en association avec le </w:t>
      </w:r>
      <w:proofErr w:type="gramStart"/>
      <w:r w:rsidRPr="003A184B">
        <w:rPr>
          <w:rFonts w:ascii="Calibri" w:hAnsi="Calibri"/>
        </w:rPr>
        <w:t>Ministère</w:t>
      </w:r>
      <w:r w:rsidR="00165946">
        <w:rPr>
          <w:rFonts w:ascii="Calibri" w:hAnsi="Calibri"/>
        </w:rPr>
        <w:t xml:space="preserve"> </w:t>
      </w:r>
      <w:r w:rsidRPr="003A184B">
        <w:rPr>
          <w:rFonts w:ascii="Calibri" w:hAnsi="Calibri"/>
        </w:rPr>
        <w:t>de</w:t>
      </w:r>
      <w:r w:rsidR="00165946">
        <w:rPr>
          <w:rFonts w:ascii="Calibri" w:hAnsi="Calibri"/>
        </w:rPr>
        <w:t xml:space="preserve"> </w:t>
      </w:r>
      <w:r w:rsidRPr="003A184B">
        <w:rPr>
          <w:rFonts w:ascii="Calibri" w:hAnsi="Calibri"/>
        </w:rPr>
        <w:t>l'Agriculture</w:t>
      </w:r>
      <w:proofErr w:type="gramEnd"/>
      <w:r w:rsidRPr="003A184B">
        <w:rPr>
          <w:rFonts w:ascii="Calibri" w:hAnsi="Calibri"/>
        </w:rPr>
        <w:t xml:space="preserve">, de la Pêche Maritime, du Développement Rural et des Eaux et Forêts (MAPMDREF </w:t>
      </w:r>
      <w:r w:rsidR="00337772" w:rsidRPr="00337772">
        <w:rPr>
          <w:rFonts w:ascii="Calibri" w:hAnsi="Calibri"/>
        </w:rPr>
        <w:t>comme indiqué dans le Contrat de Prêt. La Banque internationale pour la reconstruction et le développement (la Banque) a accepté de financer le projet, comme indiqué dans le ou les accords mentionnés. Cette ESCP remplace les versions précédentes de l'ESCP pour le Projet.</w:t>
      </w:r>
    </w:p>
    <w:p w14:paraId="79DBFC48" w14:textId="7ED03347" w:rsidR="00337772" w:rsidRPr="00165946" w:rsidRDefault="00337772" w:rsidP="00165946">
      <w:pPr>
        <w:pStyle w:val="ListParagraph"/>
        <w:numPr>
          <w:ilvl w:val="0"/>
          <w:numId w:val="16"/>
        </w:numPr>
        <w:rPr>
          <w:rFonts w:ascii="Calibri" w:hAnsi="Calibri"/>
        </w:rPr>
      </w:pPr>
      <w:bookmarkStart w:id="0" w:name="_Hlk95491967"/>
      <w:r w:rsidRPr="00337772">
        <w:rPr>
          <w:rFonts w:ascii="Calibri" w:hAnsi="Calibri"/>
        </w:rPr>
        <w:t xml:space="preserve">L'Emprunteur veillera à ce que le Projet soit exécuté conformément aux Normes Environnementales et Sociales (NES) et au présent Plan d'Engagement Environnemental et Social (PEES), d'une manière acceptable pour la Banque. </w:t>
      </w:r>
      <w:r>
        <w:rPr>
          <w:rFonts w:ascii="Calibri" w:hAnsi="Calibri"/>
        </w:rPr>
        <w:t>Le PEES</w:t>
      </w:r>
      <w:r w:rsidRPr="00337772">
        <w:rPr>
          <w:rFonts w:ascii="Calibri" w:hAnsi="Calibri"/>
        </w:rPr>
        <w:t xml:space="preserve"> fait partie de l'accord de prêt. Sauf indication contraire dans le présent </w:t>
      </w:r>
      <w:r>
        <w:rPr>
          <w:rFonts w:ascii="Calibri" w:hAnsi="Calibri"/>
        </w:rPr>
        <w:t>PEES</w:t>
      </w:r>
      <w:r w:rsidRPr="00337772">
        <w:rPr>
          <w:rFonts w:ascii="Calibri" w:hAnsi="Calibri"/>
        </w:rPr>
        <w:t xml:space="preserve">, les termes en majuscules utilisés dans le présent </w:t>
      </w:r>
      <w:r>
        <w:rPr>
          <w:rFonts w:ascii="Calibri" w:hAnsi="Calibri"/>
        </w:rPr>
        <w:t>PEES</w:t>
      </w:r>
      <w:r w:rsidRPr="00337772">
        <w:rPr>
          <w:rFonts w:ascii="Calibri" w:hAnsi="Calibri"/>
        </w:rPr>
        <w:t xml:space="preserve"> ont le sens qui leur est attribué dans le ou les accords auxquels il est fait référence</w:t>
      </w:r>
      <w:r w:rsidR="00165946">
        <w:rPr>
          <w:rFonts w:ascii="Calibri" w:hAnsi="Calibri"/>
        </w:rPr>
        <w:t>.</w:t>
      </w:r>
    </w:p>
    <w:p w14:paraId="26E6454C" w14:textId="54783097" w:rsidR="00CA3E0A" w:rsidRPr="003A184B" w:rsidRDefault="00337772" w:rsidP="00337772">
      <w:pPr>
        <w:pStyle w:val="ListParagraph"/>
        <w:numPr>
          <w:ilvl w:val="0"/>
          <w:numId w:val="16"/>
        </w:numPr>
        <w:rPr>
          <w:rFonts w:ascii="Calibri" w:hAnsi="Calibri"/>
        </w:rPr>
      </w:pPr>
      <w:r w:rsidRPr="00337772">
        <w:rPr>
          <w:rFonts w:ascii="Calibri" w:hAnsi="Calibri"/>
        </w:rPr>
        <w:t xml:space="preserve">Sans limitation de ce qui précède, le présent PEES énonce les mesures et actions matérielles que l'Emprunteur devra réaliser ou faire réaliser, y compris, le cas échéant, les délais des actions et mesures, institutionnelles, de dotation en personnel, de formation, </w:t>
      </w:r>
      <w:r>
        <w:rPr>
          <w:rFonts w:ascii="Calibri" w:hAnsi="Calibri"/>
        </w:rPr>
        <w:t>des</w:t>
      </w:r>
      <w:r w:rsidRPr="00337772">
        <w:rPr>
          <w:rFonts w:ascii="Calibri" w:hAnsi="Calibri"/>
        </w:rPr>
        <w:t xml:space="preserve"> dispositions relatives aux rapports </w:t>
      </w:r>
      <w:r>
        <w:rPr>
          <w:rFonts w:ascii="Calibri" w:hAnsi="Calibri"/>
        </w:rPr>
        <w:t xml:space="preserve">et au suivi </w:t>
      </w:r>
      <w:r w:rsidRPr="00337772">
        <w:rPr>
          <w:rFonts w:ascii="Calibri" w:hAnsi="Calibri"/>
        </w:rPr>
        <w:t xml:space="preserve">et </w:t>
      </w:r>
      <w:r>
        <w:rPr>
          <w:rFonts w:ascii="Calibri" w:hAnsi="Calibri"/>
        </w:rPr>
        <w:t>de</w:t>
      </w:r>
      <w:r w:rsidRPr="00337772">
        <w:rPr>
          <w:rFonts w:ascii="Calibri" w:hAnsi="Calibri"/>
        </w:rPr>
        <w:t xml:space="preserve"> gestion des réclamations. Le PEES définit également les instruments environnementaux et sociaux (E&amp;S) qui doivent être adoptés et mis en œuvre dans le cadre du projet, </w:t>
      </w:r>
      <w:r>
        <w:rPr>
          <w:rFonts w:ascii="Calibri" w:hAnsi="Calibri"/>
        </w:rPr>
        <w:t xml:space="preserve">et </w:t>
      </w:r>
      <w:r w:rsidRPr="00337772">
        <w:rPr>
          <w:rFonts w:ascii="Calibri" w:hAnsi="Calibri"/>
        </w:rPr>
        <w:t xml:space="preserve">qui doivent tous faire l'objet d'une consultation et d'une divulgation préalables, conformément à la NES, dans </w:t>
      </w:r>
      <w:r>
        <w:rPr>
          <w:rFonts w:ascii="Calibri" w:hAnsi="Calibri"/>
        </w:rPr>
        <w:t>une</w:t>
      </w:r>
      <w:r w:rsidRPr="00337772">
        <w:rPr>
          <w:rFonts w:ascii="Calibri" w:hAnsi="Calibri"/>
        </w:rPr>
        <w:t xml:space="preserve"> forme et </w:t>
      </w:r>
      <w:r>
        <w:rPr>
          <w:rFonts w:ascii="Calibri" w:hAnsi="Calibri"/>
        </w:rPr>
        <w:t>un</w:t>
      </w:r>
      <w:r w:rsidRPr="00337772">
        <w:rPr>
          <w:rFonts w:ascii="Calibri" w:hAnsi="Calibri"/>
        </w:rPr>
        <w:t xml:space="preserve"> fond</w:t>
      </w:r>
      <w:r>
        <w:rPr>
          <w:rFonts w:ascii="Calibri" w:hAnsi="Calibri"/>
        </w:rPr>
        <w:t xml:space="preserve"> </w:t>
      </w:r>
      <w:r w:rsidRPr="00337772">
        <w:rPr>
          <w:rFonts w:ascii="Calibri" w:hAnsi="Calibri"/>
        </w:rPr>
        <w:t>acceptable pour la Banque. Une fois adoptés, lesdits instruments E&amp;S peuvent être révisés de temps à autre avec l'accord écrit préalable de la Banque.</w:t>
      </w:r>
    </w:p>
    <w:bookmarkEnd w:id="0"/>
    <w:p w14:paraId="15761EEF" w14:textId="03B754DA" w:rsidR="00AF3F97" w:rsidRPr="003A184B" w:rsidRDefault="00337772" w:rsidP="0083516D">
      <w:pPr>
        <w:pStyle w:val="ListParagraph"/>
        <w:numPr>
          <w:ilvl w:val="0"/>
          <w:numId w:val="16"/>
        </w:numPr>
        <w:rPr>
          <w:rFonts w:ascii="Calibri" w:hAnsi="Calibri"/>
        </w:rPr>
      </w:pPr>
      <w:r w:rsidRPr="00337772">
        <w:rPr>
          <w:rFonts w:ascii="Calibri" w:hAnsi="Calibri"/>
        </w:rPr>
        <w:t>Comme convenu par la Banque et l'</w:t>
      </w:r>
      <w:r>
        <w:rPr>
          <w:rFonts w:ascii="Calibri" w:hAnsi="Calibri"/>
        </w:rPr>
        <w:t>E</w:t>
      </w:r>
      <w:r w:rsidRPr="00337772">
        <w:rPr>
          <w:rFonts w:ascii="Calibri" w:hAnsi="Calibri"/>
        </w:rPr>
        <w:t xml:space="preserve">mprunteur, ce PEES sera révisé de temps à autre si nécessaire, pendant la mise en œuvre du projet, pour refléter la gestion adaptative des changements du projet et des circonstances imprévues ou en réponse à la performance du projet. Dans de telles circonstances, l'Emprunteur à travers le MAPMDREF et la Banque conviennent de mettre à jour le PEES pour refléter ces changements par un échange de lettres signé entre la Banque et l'Emprunteur [ministre du MAPMDREF]. L'Emprunteur communiquera sans délai la </w:t>
      </w:r>
      <w:r>
        <w:rPr>
          <w:rFonts w:ascii="Calibri" w:hAnsi="Calibri"/>
        </w:rPr>
        <w:t>PEES</w:t>
      </w:r>
      <w:r w:rsidRPr="00337772">
        <w:rPr>
          <w:rFonts w:ascii="Calibri" w:hAnsi="Calibri"/>
        </w:rPr>
        <w:t xml:space="preserve"> mise à jour</w:t>
      </w:r>
      <w:r>
        <w:rPr>
          <w:rFonts w:ascii="Calibri" w:hAnsi="Calibri"/>
        </w:rPr>
        <w:t xml:space="preserve">. </w:t>
      </w:r>
    </w:p>
    <w:p w14:paraId="48E979E0" w14:textId="5DB958E3" w:rsidR="0083516D" w:rsidRPr="003A184B" w:rsidRDefault="0083516D" w:rsidP="0083516D">
      <w:pPr>
        <w:pStyle w:val="ListParagraph"/>
        <w:numPr>
          <w:ilvl w:val="0"/>
          <w:numId w:val="16"/>
        </w:numPr>
        <w:rPr>
          <w:rFonts w:ascii="Calibri" w:hAnsi="Calibri"/>
        </w:rPr>
      </w:pPr>
      <w:r w:rsidRPr="003A184B">
        <w:rPr>
          <w:rFonts w:ascii="Calibri" w:hAnsi="Calibri"/>
        </w:rPr>
        <w:t>Lorsque des modifications du projet, des circonstances imprévues ou la performance du projet entraînent des changements dans les risques et les impacts pendant la mise en œuvre du projet, l'Emprunteur fournira des fonds supplémentaires, si nécessaire, pour mettre en œuvre des actions et des mesures pour faire face à ces risques et impacts. Si 60 jours avant la Date de Clôture, la Banque détermine qu'il existe des mesures et actions spécifiées dans le PEES qui ne seront pas achevées à la Date de Clôture, l'Emprunteur devra : (a) au plus tard 30 jours avant la Date de Clôture, préparer et présenter à la Banque, un plan d'action jugé satisfaisant par la Banque sur les mesures et actions en suspens, y compris un calendrier et une allocation budgétaire pour ces mesures et actions (lequel plan d'action sera considéré comme un amendement du PEES ); et (b) par la suite, exécuter ledit plan d'action conformément à ses termes et d'une manière acceptable pour la Banque.</w:t>
      </w:r>
    </w:p>
    <w:p w14:paraId="4DA2D8F1" w14:textId="77777777" w:rsidR="0011687C" w:rsidRPr="003A184B" w:rsidRDefault="0011687C" w:rsidP="0083516D">
      <w:pPr>
        <w:ind w:left="360"/>
        <w:rPr>
          <w:rFonts w:ascii="Calibri" w:hAnsi="Calibri"/>
        </w:rPr>
        <w:sectPr w:rsidR="0011687C" w:rsidRPr="003A184B" w:rsidSect="008521C9">
          <w:headerReference w:type="even" r:id="rId12"/>
          <w:headerReference w:type="default" r:id="rId13"/>
          <w:footerReference w:type="even" r:id="rId14"/>
          <w:footerReference w:type="default" r:id="rId15"/>
          <w:headerReference w:type="first" r:id="rId16"/>
          <w:footerReference w:type="first" r:id="rId17"/>
          <w:pgSz w:w="12240" w:h="15840"/>
          <w:pgMar w:top="284" w:right="1170" w:bottom="720" w:left="990" w:header="299"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3A184B" w14:paraId="4DA2D8F6"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4DA2D8F2" w14:textId="77777777" w:rsidR="00ED3D08" w:rsidRPr="003A184B" w:rsidRDefault="00C549B1" w:rsidP="005D394E">
            <w:pPr>
              <w:keepLines/>
              <w:widowControl w:val="0"/>
              <w:rPr>
                <w:rFonts w:cstheme="minorHAnsi"/>
                <w:b/>
                <w:sz w:val="20"/>
                <w:szCs w:val="20"/>
              </w:rPr>
            </w:pPr>
            <w:r w:rsidRPr="003A184B">
              <w:rPr>
                <w:b/>
                <w:sz w:val="20"/>
                <w:szCs w:val="20"/>
              </w:rPr>
              <w:lastRenderedPageBreak/>
              <w:t xml:space="preserve">MESURES ET ACTIONS CONCRÈTES  </w:t>
            </w:r>
          </w:p>
        </w:tc>
        <w:tc>
          <w:tcPr>
            <w:tcW w:w="3780" w:type="dxa"/>
            <w:tcBorders>
              <w:top w:val="single" w:sz="4" w:space="0" w:color="000000"/>
            </w:tcBorders>
            <w:shd w:val="clear" w:color="auto" w:fill="C5E0B3" w:themeFill="accent6" w:themeFillTint="66"/>
          </w:tcPr>
          <w:p w14:paraId="4DA2D8F3" w14:textId="77777777" w:rsidR="00ED3D08" w:rsidRPr="003A184B" w:rsidRDefault="00C549B1" w:rsidP="005D394E">
            <w:pPr>
              <w:keepLines/>
              <w:widowControl w:val="0"/>
              <w:jc w:val="center"/>
              <w:rPr>
                <w:rFonts w:cstheme="minorHAnsi"/>
                <w:b/>
                <w:sz w:val="20"/>
                <w:szCs w:val="20"/>
              </w:rPr>
            </w:pPr>
            <w:r w:rsidRPr="003A184B">
              <w:rPr>
                <w:b/>
                <w:sz w:val="20"/>
                <w:szCs w:val="20"/>
              </w:rPr>
              <w:t xml:space="preserve">CALENDRIER </w:t>
            </w:r>
          </w:p>
          <w:p w14:paraId="4DA2D8F4" w14:textId="77777777" w:rsidR="00C549B1" w:rsidRPr="003A184B" w:rsidRDefault="00C549B1" w:rsidP="005D394E">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4DA2D8F5" w14:textId="77777777" w:rsidR="00ED3D08" w:rsidRPr="003A184B" w:rsidRDefault="00C549B1" w:rsidP="005D394E">
            <w:pPr>
              <w:keepLines/>
              <w:widowControl w:val="0"/>
              <w:rPr>
                <w:rFonts w:cstheme="minorHAnsi"/>
                <w:b/>
                <w:sz w:val="20"/>
                <w:szCs w:val="20"/>
              </w:rPr>
            </w:pPr>
            <w:r w:rsidRPr="003A184B">
              <w:rPr>
                <w:b/>
                <w:sz w:val="20"/>
                <w:szCs w:val="20"/>
              </w:rPr>
              <w:t xml:space="preserve">ENTITÉ/AUTORITÉ RESPONSABLE </w:t>
            </w:r>
          </w:p>
        </w:tc>
      </w:tr>
      <w:tr w:rsidR="00B1244E" w:rsidRPr="003A184B" w14:paraId="4DA2D8F8"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DA2D8F7" w14:textId="77777777" w:rsidR="00B1244E" w:rsidRPr="003A184B" w:rsidDel="00777D1F" w:rsidRDefault="00B1244E" w:rsidP="005D394E">
            <w:pPr>
              <w:keepLines/>
              <w:widowControl w:val="0"/>
              <w:rPr>
                <w:rFonts w:cstheme="minorHAnsi"/>
                <w:sz w:val="20"/>
                <w:szCs w:val="20"/>
              </w:rPr>
            </w:pPr>
            <w:r w:rsidRPr="003A184B">
              <w:rPr>
                <w:b/>
                <w:sz w:val="20"/>
                <w:szCs w:val="20"/>
              </w:rPr>
              <w:t>SUIVI ET RAPPORTS</w:t>
            </w:r>
          </w:p>
        </w:tc>
      </w:tr>
      <w:tr w:rsidR="00502173" w:rsidRPr="003A184B" w14:paraId="4DA2D900" w14:textId="77777777" w:rsidTr="00594521">
        <w:trPr>
          <w:cantSplit/>
          <w:trHeight w:val="20"/>
        </w:trPr>
        <w:tc>
          <w:tcPr>
            <w:tcW w:w="715" w:type="dxa"/>
            <w:tcBorders>
              <w:bottom w:val="single" w:sz="4" w:space="0" w:color="auto"/>
            </w:tcBorders>
          </w:tcPr>
          <w:p w14:paraId="4DA2D8F9" w14:textId="77777777" w:rsidR="00502173" w:rsidRPr="003A184B" w:rsidRDefault="00502173" w:rsidP="005D394E">
            <w:pPr>
              <w:keepLines/>
              <w:widowControl w:val="0"/>
              <w:jc w:val="center"/>
              <w:rPr>
                <w:rFonts w:cstheme="minorHAnsi"/>
                <w:sz w:val="20"/>
                <w:szCs w:val="20"/>
              </w:rPr>
            </w:pPr>
            <w:r w:rsidRPr="003A184B">
              <w:rPr>
                <w:sz w:val="20"/>
                <w:szCs w:val="20"/>
              </w:rPr>
              <w:t>A</w:t>
            </w:r>
          </w:p>
        </w:tc>
        <w:tc>
          <w:tcPr>
            <w:tcW w:w="6120" w:type="dxa"/>
            <w:tcBorders>
              <w:bottom w:val="single" w:sz="4" w:space="0" w:color="auto"/>
            </w:tcBorders>
          </w:tcPr>
          <w:p w14:paraId="4DA2D8FA" w14:textId="77777777" w:rsidR="00502173" w:rsidRPr="003A184B" w:rsidRDefault="00502173" w:rsidP="005D394E">
            <w:pPr>
              <w:keepLines/>
              <w:widowControl w:val="0"/>
              <w:rPr>
                <w:rFonts w:cstheme="minorHAnsi"/>
                <w:sz w:val="20"/>
                <w:szCs w:val="20"/>
              </w:rPr>
            </w:pPr>
            <w:r w:rsidRPr="003A184B">
              <w:rPr>
                <w:b/>
                <w:color w:val="4472C4" w:themeColor="accent1"/>
                <w:sz w:val="20"/>
                <w:szCs w:val="20"/>
              </w:rPr>
              <w:t>RAPPORTS RÉGULIERS</w:t>
            </w:r>
          </w:p>
          <w:p w14:paraId="47AD8AD4" w14:textId="50949C29" w:rsidR="00364406" w:rsidRPr="003A184B" w:rsidRDefault="00DA18FC" w:rsidP="00F82C89">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L</w:t>
            </w:r>
            <w:r w:rsidR="0083516D" w:rsidRPr="003A184B">
              <w:rPr>
                <w:rFonts w:ascii="CIDFont+F1" w:hAnsi="CIDFont+F1" w:cs="CIDFont+F1"/>
                <w:sz w:val="20"/>
                <w:szCs w:val="20"/>
              </w:rPr>
              <w:t xml:space="preserve">’Emprunteur </w:t>
            </w:r>
            <w:r w:rsidRPr="003A184B">
              <w:rPr>
                <w:rFonts w:ascii="CIDFont+F1" w:hAnsi="CIDFont+F1" w:cs="CIDFont+F1"/>
                <w:sz w:val="20"/>
                <w:szCs w:val="20"/>
              </w:rPr>
              <w:t>préparera et soumettra, par le biais de l’Unité de Gestion du Programme (UGP)</w:t>
            </w:r>
            <w:r w:rsidR="00364406" w:rsidRPr="003A184B">
              <w:rPr>
                <w:rFonts w:ascii="CIDFont+F1" w:hAnsi="CIDFont+F1" w:cs="CIDFont+F1"/>
                <w:sz w:val="20"/>
                <w:szCs w:val="20"/>
              </w:rPr>
              <w:t> :</w:t>
            </w:r>
          </w:p>
          <w:p w14:paraId="7608C295" w14:textId="77777777" w:rsidR="00364406" w:rsidRPr="003A184B" w:rsidRDefault="00364406" w:rsidP="00F82C89">
            <w:pPr>
              <w:autoSpaceDE w:val="0"/>
              <w:autoSpaceDN w:val="0"/>
              <w:adjustRightInd w:val="0"/>
              <w:jc w:val="both"/>
              <w:rPr>
                <w:rFonts w:ascii="CIDFont+F1" w:hAnsi="CIDFont+F1" w:cs="CIDFont+F1"/>
                <w:sz w:val="20"/>
                <w:szCs w:val="20"/>
              </w:rPr>
            </w:pPr>
          </w:p>
          <w:p w14:paraId="158D33B8" w14:textId="0F0C73B6" w:rsidR="00EA1314" w:rsidRPr="003A184B" w:rsidRDefault="00F83780" w:rsidP="00F82C89">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 xml:space="preserve">- </w:t>
            </w:r>
            <w:r w:rsidR="00A107E5" w:rsidRPr="003A184B">
              <w:rPr>
                <w:rFonts w:ascii="CIDFont+F1" w:hAnsi="CIDFont+F1" w:cs="CIDFont+F1"/>
                <w:sz w:val="20"/>
                <w:szCs w:val="20"/>
              </w:rPr>
              <w:t>des rapports de suivi environnemental et social indiquant l’état de conformité avec les mesures convenues dans le PEES, notamment en ce qui concerne la préparation et l’application des mesures et outils environnementaux et sociaux, les activités de mobilisation des parties prenantes et le fonctionnement des mécanismes de gestion des plaintes y compris celles relatives aux cas d’exploitation et d’abus sexuels / et d’harcèlement sexuel (EAS/HS), la gestion des risques de sécurité et la mise en œuvre des mesures relatives aux risques et  les incidents de sécurité,</w:t>
            </w:r>
            <w:r w:rsidR="00A846CF">
              <w:rPr>
                <w:rFonts w:ascii="CIDFont+F1" w:hAnsi="CIDFont+F1" w:cs="CIDFont+F1"/>
                <w:sz w:val="20"/>
                <w:szCs w:val="20"/>
              </w:rPr>
              <w:t xml:space="preserve"> réponses liées aux risques COVID-19</w:t>
            </w:r>
            <w:r w:rsidR="00A107E5" w:rsidRPr="003A184B">
              <w:rPr>
                <w:rFonts w:ascii="CIDFont+F1" w:hAnsi="CIDFont+F1" w:cs="CIDFont+F1"/>
                <w:sz w:val="20"/>
                <w:szCs w:val="20"/>
              </w:rPr>
              <w:t xml:space="preserve"> etc.</w:t>
            </w:r>
          </w:p>
          <w:p w14:paraId="6F49CFC2" w14:textId="77777777" w:rsidR="00364406" w:rsidRPr="003A184B" w:rsidRDefault="00364406" w:rsidP="00F82C89">
            <w:pPr>
              <w:autoSpaceDE w:val="0"/>
              <w:autoSpaceDN w:val="0"/>
              <w:adjustRightInd w:val="0"/>
              <w:jc w:val="both"/>
              <w:rPr>
                <w:rFonts w:ascii="CIDFont+F1" w:hAnsi="CIDFont+F1" w:cs="CIDFont+F1"/>
                <w:sz w:val="20"/>
                <w:szCs w:val="20"/>
              </w:rPr>
            </w:pPr>
          </w:p>
          <w:p w14:paraId="7261A23D" w14:textId="7F1E8129" w:rsidR="00DA18FC" w:rsidRPr="003A184B" w:rsidRDefault="00B76E25" w:rsidP="00F82C89">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 xml:space="preserve">- </w:t>
            </w:r>
            <w:r w:rsidR="00DA18FC" w:rsidRPr="003A184B">
              <w:rPr>
                <w:rFonts w:ascii="CIDFont+F1" w:hAnsi="CIDFont+F1" w:cs="CIDFont+F1"/>
                <w:sz w:val="20"/>
                <w:szCs w:val="20"/>
              </w:rPr>
              <w:t>Les rapports de suivi</w:t>
            </w:r>
            <w:r w:rsidR="00F57F31" w:rsidRPr="003A184B">
              <w:rPr>
                <w:rFonts w:ascii="CIDFont+F1" w:hAnsi="CIDFont+F1" w:cs="CIDFont+F1"/>
                <w:sz w:val="20"/>
                <w:szCs w:val="20"/>
              </w:rPr>
              <w:t xml:space="preserve"> </w:t>
            </w:r>
            <w:r w:rsidR="00DA18FC" w:rsidRPr="003A184B">
              <w:rPr>
                <w:rFonts w:ascii="CIDFont+F1" w:hAnsi="CIDFont+F1" w:cs="CIDFont+F1"/>
                <w:sz w:val="20"/>
                <w:szCs w:val="20"/>
              </w:rPr>
              <w:t>environnemental et social indiquant l'état de conformité avec les</w:t>
            </w:r>
            <w:r w:rsidR="00F57F31" w:rsidRPr="003A184B">
              <w:rPr>
                <w:rFonts w:ascii="CIDFont+F1" w:hAnsi="CIDFont+F1" w:cs="CIDFont+F1"/>
                <w:sz w:val="20"/>
                <w:szCs w:val="20"/>
              </w:rPr>
              <w:t xml:space="preserve"> </w:t>
            </w:r>
            <w:r w:rsidR="00DA18FC" w:rsidRPr="003A184B">
              <w:rPr>
                <w:rFonts w:ascii="CIDFont+F1" w:hAnsi="CIDFont+F1" w:cs="CIDFont+F1"/>
                <w:sz w:val="20"/>
                <w:szCs w:val="20"/>
              </w:rPr>
              <w:t>mesures présentées dans le PEES en particulier</w:t>
            </w:r>
            <w:r w:rsidR="00A107E5" w:rsidRPr="003A184B">
              <w:rPr>
                <w:rFonts w:ascii="CIDFont+F1" w:hAnsi="CIDFont+F1" w:cs="CIDFont+F1"/>
                <w:sz w:val="20"/>
                <w:szCs w:val="20"/>
              </w:rPr>
              <w:t xml:space="preserve">, </w:t>
            </w:r>
            <w:r w:rsidR="00DA18FC" w:rsidRPr="003A184B">
              <w:rPr>
                <w:rFonts w:ascii="CIDFont+F1" w:hAnsi="CIDFont+F1" w:cs="CIDFont+F1"/>
                <w:sz w:val="20"/>
                <w:szCs w:val="20"/>
              </w:rPr>
              <w:t>mais aussi dans les</w:t>
            </w:r>
            <w:r w:rsidR="00F57F31" w:rsidRPr="003A184B">
              <w:rPr>
                <w:rFonts w:ascii="CIDFont+F1" w:hAnsi="CIDFont+F1" w:cs="CIDFont+F1"/>
                <w:sz w:val="20"/>
                <w:szCs w:val="20"/>
              </w:rPr>
              <w:t xml:space="preserve"> </w:t>
            </w:r>
            <w:r w:rsidR="00DA18FC" w:rsidRPr="003A184B">
              <w:rPr>
                <w:rFonts w:ascii="CIDFont+F1" w:hAnsi="CIDFont+F1" w:cs="CIDFont+F1"/>
                <w:sz w:val="20"/>
                <w:szCs w:val="20"/>
              </w:rPr>
              <w:t>documents prépar</w:t>
            </w:r>
            <w:r w:rsidR="00F57F31" w:rsidRPr="003A184B">
              <w:rPr>
                <w:rFonts w:ascii="CIDFont+F1" w:hAnsi="CIDFont+F1" w:cs="CIDFont+F1"/>
                <w:sz w:val="20"/>
                <w:szCs w:val="20"/>
              </w:rPr>
              <w:t>é</w:t>
            </w:r>
            <w:r w:rsidR="00DA18FC" w:rsidRPr="003A184B">
              <w:rPr>
                <w:rFonts w:ascii="CIDFont+F1" w:hAnsi="CIDFont+F1" w:cs="CIDFont+F1"/>
                <w:sz w:val="20"/>
                <w:szCs w:val="20"/>
              </w:rPr>
              <w:t>s avec les instruments de la gestion des risques et</w:t>
            </w:r>
            <w:r w:rsidR="00FA173B" w:rsidRPr="003A184B">
              <w:rPr>
                <w:rFonts w:ascii="CIDFont+F1" w:hAnsi="CIDFont+F1" w:cs="CIDFont+F1"/>
                <w:sz w:val="20"/>
                <w:szCs w:val="20"/>
              </w:rPr>
              <w:t xml:space="preserve"> </w:t>
            </w:r>
            <w:r w:rsidR="00DA18FC" w:rsidRPr="003A184B">
              <w:rPr>
                <w:rFonts w:ascii="CIDFont+F1" w:hAnsi="CIDFont+F1" w:cs="CIDFont+F1"/>
                <w:sz w:val="20"/>
                <w:szCs w:val="20"/>
              </w:rPr>
              <w:t>impacts environnementa</w:t>
            </w:r>
            <w:r w:rsidR="00742C9E" w:rsidRPr="003A184B">
              <w:rPr>
                <w:rFonts w:ascii="CIDFont+F1" w:hAnsi="CIDFont+F1" w:cs="CIDFont+F1"/>
                <w:sz w:val="20"/>
                <w:szCs w:val="20"/>
              </w:rPr>
              <w:t>ux</w:t>
            </w:r>
            <w:r w:rsidR="00DA18FC" w:rsidRPr="003A184B">
              <w:rPr>
                <w:rFonts w:ascii="CIDFont+F1" w:hAnsi="CIDFont+F1" w:cs="CIDFont+F1"/>
                <w:sz w:val="20"/>
                <w:szCs w:val="20"/>
              </w:rPr>
              <w:t xml:space="preserve"> et socia</w:t>
            </w:r>
            <w:r w:rsidR="00742C9E" w:rsidRPr="003A184B">
              <w:rPr>
                <w:rFonts w:ascii="CIDFont+F1" w:hAnsi="CIDFont+F1" w:cs="CIDFont+F1"/>
                <w:sz w:val="20"/>
                <w:szCs w:val="20"/>
              </w:rPr>
              <w:t>ux</w:t>
            </w:r>
            <w:r w:rsidR="00DA18FC" w:rsidRPr="003A184B">
              <w:rPr>
                <w:rFonts w:ascii="CIDFont+F1" w:hAnsi="CIDFont+F1" w:cs="CIDFont+F1"/>
                <w:sz w:val="20"/>
                <w:szCs w:val="20"/>
              </w:rPr>
              <w:t xml:space="preserve"> notamment le </w:t>
            </w:r>
            <w:r w:rsidR="00B04BAA" w:rsidRPr="003A184B">
              <w:rPr>
                <w:rFonts w:ascii="CIDFont+F1" w:hAnsi="CIDFont+F1" w:cs="CIDFont+F1"/>
                <w:sz w:val="20"/>
                <w:szCs w:val="20"/>
              </w:rPr>
              <w:t>C</w:t>
            </w:r>
            <w:r w:rsidR="00DA18FC" w:rsidRPr="003A184B">
              <w:rPr>
                <w:rFonts w:ascii="CIDFont+F1" w:hAnsi="CIDFont+F1" w:cs="CIDFont+F1"/>
                <w:sz w:val="20"/>
                <w:szCs w:val="20"/>
              </w:rPr>
              <w:t>GES</w:t>
            </w:r>
            <w:r w:rsidR="00742C9E" w:rsidRPr="003A184B">
              <w:rPr>
                <w:rFonts w:ascii="CIDFont+F1" w:hAnsi="CIDFont+F1" w:cs="CIDFont+F1"/>
                <w:sz w:val="20"/>
                <w:szCs w:val="20"/>
              </w:rPr>
              <w:t>,</w:t>
            </w:r>
            <w:r w:rsidR="00DA18FC" w:rsidRPr="003A184B">
              <w:rPr>
                <w:rFonts w:ascii="CIDFont+F1" w:hAnsi="CIDFont+F1" w:cs="CIDFont+F1"/>
                <w:sz w:val="20"/>
                <w:szCs w:val="20"/>
              </w:rPr>
              <w:t xml:space="preserve"> Plan d’Action EAS/HS, le CPR, le PGMO, le PMPP, Codes de</w:t>
            </w:r>
            <w:r w:rsidR="00742C9E" w:rsidRPr="003A184B">
              <w:rPr>
                <w:rFonts w:ascii="CIDFont+F1" w:hAnsi="CIDFont+F1" w:cs="CIDFont+F1"/>
                <w:sz w:val="20"/>
                <w:szCs w:val="20"/>
              </w:rPr>
              <w:t xml:space="preserve"> </w:t>
            </w:r>
            <w:r w:rsidR="00DA18FC" w:rsidRPr="003A184B">
              <w:rPr>
                <w:rFonts w:ascii="CIDFont+F1" w:hAnsi="CIDFont+F1" w:cs="CIDFont+F1"/>
                <w:sz w:val="20"/>
                <w:szCs w:val="20"/>
              </w:rPr>
              <w:t xml:space="preserve">conduites et plan d’action pour la mise en </w:t>
            </w:r>
            <w:r w:rsidR="00742C9E" w:rsidRPr="003A184B">
              <w:rPr>
                <w:rFonts w:ascii="CIDFont+F1" w:hAnsi="CIDFont+F1" w:cs="CIDFont+F1"/>
                <w:sz w:val="20"/>
                <w:szCs w:val="20"/>
              </w:rPr>
              <w:t>œuvre</w:t>
            </w:r>
            <w:r w:rsidR="00DA18FC" w:rsidRPr="003A184B">
              <w:rPr>
                <w:rFonts w:ascii="CIDFont+F1" w:hAnsi="CIDFont+F1" w:cs="CIDFont+F1"/>
                <w:sz w:val="20"/>
                <w:szCs w:val="20"/>
              </w:rPr>
              <w:t xml:space="preserve"> des normes </w:t>
            </w:r>
            <w:r w:rsidR="00A846CF">
              <w:rPr>
                <w:rFonts w:ascii="CIDFont+F1" w:hAnsi="CIDFont+F1" w:cs="CIDFont+F1"/>
                <w:sz w:val="20"/>
                <w:szCs w:val="20"/>
              </w:rPr>
              <w:t>de Santé et Sécurité au Travail (SST)</w:t>
            </w:r>
            <w:r w:rsidR="00DA18FC" w:rsidRPr="003A184B">
              <w:rPr>
                <w:rFonts w:ascii="CIDFont+F1" w:hAnsi="CIDFont+F1" w:cs="CIDFont+F1"/>
                <w:sz w:val="20"/>
                <w:szCs w:val="20"/>
              </w:rPr>
              <w:t>.</w:t>
            </w:r>
          </w:p>
          <w:p w14:paraId="20624399" w14:textId="77777777" w:rsidR="00742C9E" w:rsidRPr="003A184B" w:rsidRDefault="00742C9E" w:rsidP="00DA18FC">
            <w:pPr>
              <w:autoSpaceDE w:val="0"/>
              <w:autoSpaceDN w:val="0"/>
              <w:adjustRightInd w:val="0"/>
              <w:rPr>
                <w:rFonts w:ascii="CIDFont+F1" w:hAnsi="CIDFont+F1" w:cs="CIDFont+F1"/>
                <w:sz w:val="20"/>
                <w:szCs w:val="20"/>
              </w:rPr>
            </w:pPr>
          </w:p>
          <w:p w14:paraId="76196372" w14:textId="77777777" w:rsidR="00A107E5" w:rsidRPr="003A184B" w:rsidRDefault="00A107E5" w:rsidP="00A107E5">
            <w:pPr>
              <w:autoSpaceDE w:val="0"/>
              <w:autoSpaceDN w:val="0"/>
              <w:adjustRightInd w:val="0"/>
              <w:jc w:val="both"/>
              <w:rPr>
                <w:rFonts w:cstheme="minorHAnsi"/>
                <w:sz w:val="20"/>
                <w:szCs w:val="20"/>
              </w:rPr>
            </w:pPr>
            <w:r w:rsidRPr="003A184B">
              <w:rPr>
                <w:rFonts w:ascii="CIDFont+F1" w:hAnsi="CIDFont+F1" w:cs="CIDFont+F1"/>
                <w:sz w:val="20"/>
                <w:szCs w:val="20"/>
              </w:rPr>
              <w:t>L’Emprunteur devra également soumettre à la demande de la Banque, tous les rapports de suivi mensuels soumis par les entreprises engagées sur les différents chantiers du Projet REDI (entreprises, fournisseurs, prestataires de services et contractants).</w:t>
            </w:r>
          </w:p>
          <w:p w14:paraId="4DA2D8FC" w14:textId="54383669" w:rsidR="00034D18" w:rsidRPr="003A184B" w:rsidRDefault="00034D18" w:rsidP="00E52E94">
            <w:pPr>
              <w:keepLines/>
              <w:widowControl w:val="0"/>
              <w:rPr>
                <w:rFonts w:cstheme="minorHAnsi"/>
                <w:sz w:val="20"/>
                <w:szCs w:val="20"/>
              </w:rPr>
            </w:pPr>
          </w:p>
        </w:tc>
        <w:tc>
          <w:tcPr>
            <w:tcW w:w="3780" w:type="dxa"/>
            <w:tcBorders>
              <w:bottom w:val="single" w:sz="4" w:space="0" w:color="auto"/>
            </w:tcBorders>
          </w:tcPr>
          <w:p w14:paraId="1342215E" w14:textId="77777777" w:rsidR="00F82C89" w:rsidRPr="003A184B" w:rsidRDefault="00F82C89" w:rsidP="00AE56DC">
            <w:pPr>
              <w:keepLines/>
              <w:widowControl w:val="0"/>
              <w:jc w:val="both"/>
              <w:rPr>
                <w:rFonts w:cstheme="minorHAnsi"/>
                <w:sz w:val="20"/>
                <w:szCs w:val="20"/>
              </w:rPr>
            </w:pPr>
          </w:p>
          <w:p w14:paraId="4DA2D8FD" w14:textId="39231DFC" w:rsidR="00502173" w:rsidRPr="003A184B" w:rsidRDefault="00E3328F" w:rsidP="00AE56DC">
            <w:pPr>
              <w:keepLines/>
              <w:widowControl w:val="0"/>
              <w:jc w:val="both"/>
              <w:rPr>
                <w:rFonts w:eastAsia="Times New Roman" w:cstheme="minorHAnsi"/>
                <w:bCs/>
                <w:sz w:val="20"/>
                <w:szCs w:val="20"/>
              </w:rPr>
            </w:pPr>
            <w:r w:rsidRPr="003A184B">
              <w:rPr>
                <w:rFonts w:cstheme="minorHAnsi"/>
                <w:sz w:val="20"/>
                <w:szCs w:val="20"/>
              </w:rPr>
              <w:t>Un rapport semestriel sera communiqué à la BM qui retracera la performance sociale du projet.</w:t>
            </w:r>
          </w:p>
          <w:p w14:paraId="4DA2D8FE" w14:textId="77777777" w:rsidR="00502173" w:rsidRPr="003A184B" w:rsidRDefault="00502173" w:rsidP="005D394E">
            <w:pPr>
              <w:keepLines/>
              <w:widowControl w:val="0"/>
              <w:rPr>
                <w:rFonts w:cstheme="minorHAnsi"/>
                <w:sz w:val="20"/>
                <w:szCs w:val="20"/>
              </w:rPr>
            </w:pPr>
          </w:p>
        </w:tc>
        <w:tc>
          <w:tcPr>
            <w:tcW w:w="3690" w:type="dxa"/>
            <w:tcBorders>
              <w:bottom w:val="single" w:sz="4" w:space="0" w:color="auto"/>
            </w:tcBorders>
          </w:tcPr>
          <w:p w14:paraId="018B10EF" w14:textId="77777777" w:rsidR="00F82C89" w:rsidRPr="003A184B" w:rsidRDefault="00F82C89" w:rsidP="005D394E">
            <w:pPr>
              <w:keepLines/>
              <w:widowControl w:val="0"/>
              <w:rPr>
                <w:rFonts w:cstheme="minorHAnsi"/>
                <w:sz w:val="20"/>
                <w:szCs w:val="20"/>
              </w:rPr>
            </w:pPr>
          </w:p>
          <w:p w14:paraId="4DA2D8FF" w14:textId="3D32AC76" w:rsidR="00502173" w:rsidRPr="003A184B" w:rsidRDefault="00A107E5" w:rsidP="005D394E">
            <w:pPr>
              <w:keepLines/>
              <w:widowControl w:val="0"/>
              <w:rPr>
                <w:rFonts w:cstheme="minorHAnsi"/>
                <w:sz w:val="20"/>
                <w:szCs w:val="20"/>
              </w:rPr>
            </w:pPr>
            <w:r w:rsidRPr="003A184B">
              <w:rPr>
                <w:rFonts w:cstheme="minorHAnsi"/>
                <w:sz w:val="20"/>
                <w:szCs w:val="20"/>
              </w:rPr>
              <w:t>MAPMDREF/</w:t>
            </w:r>
            <w:r w:rsidR="00F519CF" w:rsidRPr="003A184B">
              <w:rPr>
                <w:rFonts w:cstheme="minorHAnsi"/>
                <w:sz w:val="20"/>
                <w:szCs w:val="20"/>
              </w:rPr>
              <w:t>U</w:t>
            </w:r>
            <w:r w:rsidR="00A846CF">
              <w:rPr>
                <w:rFonts w:cstheme="minorHAnsi"/>
                <w:sz w:val="20"/>
                <w:szCs w:val="20"/>
              </w:rPr>
              <w:t>C</w:t>
            </w:r>
            <w:r w:rsidR="00F519CF" w:rsidRPr="003A184B">
              <w:rPr>
                <w:rFonts w:cstheme="minorHAnsi"/>
                <w:sz w:val="20"/>
                <w:szCs w:val="20"/>
              </w:rPr>
              <w:t>GP</w:t>
            </w:r>
            <w:r w:rsidRPr="003A184B">
              <w:rPr>
                <w:rFonts w:cstheme="minorHAnsi"/>
                <w:sz w:val="20"/>
                <w:szCs w:val="20"/>
              </w:rPr>
              <w:t>/</w:t>
            </w:r>
            <w:r w:rsidR="00F519CF" w:rsidRPr="003A184B">
              <w:rPr>
                <w:rFonts w:cstheme="minorHAnsi"/>
                <w:sz w:val="20"/>
                <w:szCs w:val="20"/>
              </w:rPr>
              <w:t>U</w:t>
            </w:r>
            <w:r w:rsidR="00A846CF">
              <w:rPr>
                <w:rFonts w:cstheme="minorHAnsi"/>
                <w:sz w:val="20"/>
                <w:szCs w:val="20"/>
              </w:rPr>
              <w:t>R</w:t>
            </w:r>
            <w:r w:rsidR="00F519CF" w:rsidRPr="003A184B">
              <w:rPr>
                <w:rFonts w:cstheme="minorHAnsi"/>
                <w:sz w:val="20"/>
                <w:szCs w:val="20"/>
              </w:rPr>
              <w:t>GP</w:t>
            </w:r>
            <w:r w:rsidR="0017069C" w:rsidRPr="003A184B">
              <w:rPr>
                <w:rFonts w:cstheme="minorHAnsi"/>
                <w:sz w:val="20"/>
                <w:szCs w:val="20"/>
              </w:rPr>
              <w:t>.</w:t>
            </w:r>
          </w:p>
        </w:tc>
      </w:tr>
      <w:tr w:rsidR="00502173" w:rsidRPr="003A184B" w14:paraId="4DA2D907" w14:textId="77777777" w:rsidTr="00594521">
        <w:trPr>
          <w:cantSplit/>
          <w:trHeight w:val="20"/>
        </w:trPr>
        <w:tc>
          <w:tcPr>
            <w:tcW w:w="715" w:type="dxa"/>
            <w:tcBorders>
              <w:bottom w:val="single" w:sz="4" w:space="0" w:color="000000"/>
            </w:tcBorders>
          </w:tcPr>
          <w:p w14:paraId="4DA2D901" w14:textId="77777777" w:rsidR="00502173" w:rsidRPr="003A184B" w:rsidRDefault="00502173" w:rsidP="005D394E">
            <w:pPr>
              <w:keepLines/>
              <w:widowControl w:val="0"/>
              <w:jc w:val="center"/>
              <w:rPr>
                <w:rFonts w:cstheme="minorHAnsi"/>
                <w:sz w:val="20"/>
                <w:szCs w:val="20"/>
              </w:rPr>
            </w:pPr>
            <w:r w:rsidRPr="003A184B">
              <w:rPr>
                <w:sz w:val="20"/>
                <w:szCs w:val="20"/>
              </w:rPr>
              <w:lastRenderedPageBreak/>
              <w:t>B</w:t>
            </w:r>
          </w:p>
        </w:tc>
        <w:tc>
          <w:tcPr>
            <w:tcW w:w="6120" w:type="dxa"/>
            <w:tcBorders>
              <w:bottom w:val="single" w:sz="4" w:space="0" w:color="000000"/>
            </w:tcBorders>
          </w:tcPr>
          <w:p w14:paraId="4DA2D902" w14:textId="77777777" w:rsidR="00E94EA7" w:rsidRPr="003A184B" w:rsidRDefault="00502173" w:rsidP="005D394E">
            <w:pPr>
              <w:pStyle w:val="ModelNrmlSingle"/>
              <w:keepLines/>
              <w:widowControl w:val="0"/>
              <w:spacing w:after="0"/>
              <w:ind w:firstLine="0"/>
              <w:jc w:val="left"/>
              <w:rPr>
                <w:rFonts w:asciiTheme="minorHAnsi" w:hAnsiTheme="minorHAnsi" w:cstheme="minorHAnsi"/>
                <w:bCs/>
                <w:color w:val="4472C4" w:themeColor="accent1"/>
                <w:sz w:val="20"/>
              </w:rPr>
            </w:pPr>
            <w:r w:rsidRPr="003A184B">
              <w:rPr>
                <w:rFonts w:asciiTheme="minorHAnsi" w:hAnsiTheme="minorHAnsi"/>
                <w:b/>
                <w:bCs/>
                <w:color w:val="4472C4" w:themeColor="accent1"/>
                <w:sz w:val="20"/>
              </w:rPr>
              <w:t>INCIDENTS ET ACCIDENTS</w:t>
            </w:r>
            <w:r w:rsidRPr="003A184B">
              <w:rPr>
                <w:rFonts w:asciiTheme="minorHAnsi" w:hAnsiTheme="minorHAnsi"/>
                <w:bCs/>
                <w:color w:val="4472C4" w:themeColor="accent1"/>
                <w:sz w:val="20"/>
              </w:rPr>
              <w:t xml:space="preserve"> </w:t>
            </w:r>
          </w:p>
          <w:p w14:paraId="4DA2D903" w14:textId="77777777" w:rsidR="00E94EA7" w:rsidRPr="003A184B" w:rsidRDefault="00E94EA7" w:rsidP="005D394E">
            <w:pPr>
              <w:pStyle w:val="ModelNrmlSingle"/>
              <w:keepLines/>
              <w:widowControl w:val="0"/>
              <w:spacing w:after="0"/>
              <w:ind w:firstLine="0"/>
              <w:jc w:val="left"/>
              <w:rPr>
                <w:rFonts w:asciiTheme="minorHAnsi" w:hAnsiTheme="minorHAnsi" w:cstheme="minorHAnsi"/>
                <w:bCs/>
                <w:color w:val="4472C4" w:themeColor="accent1"/>
                <w:sz w:val="20"/>
              </w:rPr>
            </w:pPr>
          </w:p>
          <w:p w14:paraId="397FAAC3" w14:textId="63B62950" w:rsidR="005C3990" w:rsidRPr="003A184B" w:rsidRDefault="005C3990" w:rsidP="00E52E94">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L’UGP</w:t>
            </w:r>
            <w:r w:rsidR="00A846CF">
              <w:rPr>
                <w:rFonts w:ascii="CIDFont+F1" w:hAnsi="CIDFont+F1" w:cs="CIDFont+F1"/>
                <w:sz w:val="20"/>
                <w:szCs w:val="20"/>
              </w:rPr>
              <w:t>C</w:t>
            </w:r>
            <w:r w:rsidRPr="003A184B">
              <w:rPr>
                <w:rFonts w:ascii="CIDFont+F1" w:hAnsi="CIDFont+F1" w:cs="CIDFont+F1"/>
                <w:sz w:val="20"/>
                <w:szCs w:val="20"/>
              </w:rPr>
              <w:t xml:space="preserve"> </w:t>
            </w:r>
            <w:r w:rsidR="00A107E5" w:rsidRPr="003A184B">
              <w:rPr>
                <w:rFonts w:ascii="CIDFont+F1" w:hAnsi="CIDFont+F1" w:cs="CIDFont+F1"/>
                <w:sz w:val="20"/>
                <w:szCs w:val="20"/>
              </w:rPr>
              <w:t>a élaboré</w:t>
            </w:r>
            <w:r w:rsidRPr="003A184B">
              <w:rPr>
                <w:rFonts w:ascii="CIDFont+F1" w:hAnsi="CIDFont+F1" w:cs="CIDFont+F1"/>
                <w:sz w:val="20"/>
                <w:szCs w:val="20"/>
              </w:rPr>
              <w:t xml:space="preserve"> une </w:t>
            </w:r>
            <w:r w:rsidR="000A3317" w:rsidRPr="003A184B">
              <w:rPr>
                <w:rFonts w:ascii="CIDFont+F1" w:hAnsi="CIDFont+F1" w:cs="CIDFont+F1"/>
                <w:sz w:val="20"/>
                <w:szCs w:val="20"/>
              </w:rPr>
              <w:t xml:space="preserve">procédure de notification d’incident et </w:t>
            </w:r>
            <w:r w:rsidR="00A107E5" w:rsidRPr="003A184B">
              <w:rPr>
                <w:rFonts w:ascii="CIDFont+F1" w:hAnsi="CIDFont+F1" w:cs="CIDFont+F1"/>
                <w:sz w:val="20"/>
                <w:szCs w:val="20"/>
              </w:rPr>
              <w:t>d’a</w:t>
            </w:r>
            <w:r w:rsidR="000A3317" w:rsidRPr="003A184B">
              <w:rPr>
                <w:rFonts w:ascii="CIDFont+F1" w:hAnsi="CIDFont+F1" w:cs="CIDFont+F1"/>
                <w:sz w:val="20"/>
                <w:szCs w:val="20"/>
              </w:rPr>
              <w:t>ccidents</w:t>
            </w:r>
            <w:r w:rsidR="00A107E5" w:rsidRPr="003A184B">
              <w:rPr>
                <w:rFonts w:ascii="CIDFont+F1" w:hAnsi="CIDFont+F1" w:cs="CIDFont+F1"/>
                <w:sz w:val="20"/>
                <w:szCs w:val="20"/>
              </w:rPr>
              <w:t xml:space="preserve"> (y compris les mesures COVID-19)</w:t>
            </w:r>
            <w:r w:rsidR="000A3317" w:rsidRPr="003A184B">
              <w:rPr>
                <w:rFonts w:ascii="CIDFont+F1" w:hAnsi="CIDFont+F1" w:cs="CIDFont+F1"/>
                <w:sz w:val="20"/>
                <w:szCs w:val="20"/>
              </w:rPr>
              <w:t xml:space="preserve"> dans le cadre de la préparation du CGES.</w:t>
            </w:r>
          </w:p>
          <w:p w14:paraId="71E89F41" w14:textId="3C60D1DA" w:rsidR="005C3990" w:rsidRPr="003A184B" w:rsidRDefault="005C3990" w:rsidP="00E52E94">
            <w:pPr>
              <w:autoSpaceDE w:val="0"/>
              <w:autoSpaceDN w:val="0"/>
              <w:adjustRightInd w:val="0"/>
              <w:jc w:val="both"/>
              <w:rPr>
                <w:rFonts w:ascii="CIDFont+F1" w:hAnsi="CIDFont+F1" w:cs="CIDFont+F1"/>
                <w:sz w:val="20"/>
                <w:szCs w:val="20"/>
              </w:rPr>
            </w:pPr>
          </w:p>
          <w:p w14:paraId="55FC02DC" w14:textId="202D1A0F" w:rsidR="007B621D" w:rsidRPr="003A184B" w:rsidRDefault="00DD6C0E" w:rsidP="00A107E5">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L’UGP</w:t>
            </w:r>
            <w:r w:rsidR="00A107E5" w:rsidRPr="003A184B">
              <w:rPr>
                <w:rFonts w:ascii="CIDFont+F1" w:hAnsi="CIDFont+F1" w:cs="CIDFont+F1"/>
                <w:sz w:val="20"/>
                <w:szCs w:val="20"/>
              </w:rPr>
              <w:t>R</w:t>
            </w:r>
            <w:r w:rsidRPr="003A184B">
              <w:rPr>
                <w:rFonts w:ascii="CIDFont+F1" w:hAnsi="CIDFont+F1" w:cs="CIDFont+F1"/>
                <w:sz w:val="20"/>
                <w:szCs w:val="20"/>
              </w:rPr>
              <w:t xml:space="preserve"> du projet notifiera immédiatement à </w:t>
            </w:r>
            <w:r w:rsidR="00900ADC" w:rsidRPr="003A184B">
              <w:rPr>
                <w:rFonts w:ascii="CIDFont+F1" w:hAnsi="CIDFont+F1" w:cs="CIDFont+F1"/>
                <w:sz w:val="20"/>
                <w:szCs w:val="20"/>
              </w:rPr>
              <w:t>la Banque</w:t>
            </w:r>
            <w:r w:rsidRPr="003A184B">
              <w:rPr>
                <w:rFonts w:ascii="CIDFont+F1" w:hAnsi="CIDFont+F1" w:cs="CIDFont+F1"/>
                <w:sz w:val="20"/>
                <w:szCs w:val="20"/>
              </w:rPr>
              <w:t xml:space="preserve"> tout incident ou</w:t>
            </w:r>
            <w:r w:rsidR="00104DCD" w:rsidRPr="003A184B">
              <w:rPr>
                <w:rFonts w:ascii="CIDFont+F1" w:hAnsi="CIDFont+F1" w:cs="CIDFont+F1"/>
                <w:sz w:val="20"/>
                <w:szCs w:val="20"/>
              </w:rPr>
              <w:t xml:space="preserve"> </w:t>
            </w:r>
            <w:r w:rsidRPr="003A184B">
              <w:rPr>
                <w:rFonts w:ascii="CIDFont+F1" w:hAnsi="CIDFont+F1" w:cs="CIDFont+F1"/>
                <w:sz w:val="20"/>
                <w:szCs w:val="20"/>
              </w:rPr>
              <w:t xml:space="preserve">accident en lien direct ou indirect avec la mise en </w:t>
            </w:r>
            <w:r w:rsidR="00104DCD" w:rsidRPr="003A184B">
              <w:rPr>
                <w:rFonts w:ascii="CIDFont+F1" w:hAnsi="CIDFont+F1" w:cs="CIDFont+F1"/>
                <w:sz w:val="20"/>
                <w:szCs w:val="20"/>
              </w:rPr>
              <w:t>œuvre</w:t>
            </w:r>
            <w:r w:rsidRPr="003A184B">
              <w:rPr>
                <w:rFonts w:ascii="CIDFont+F1" w:hAnsi="CIDFont+F1" w:cs="CIDFont+F1"/>
                <w:sz w:val="20"/>
                <w:szCs w:val="20"/>
              </w:rPr>
              <w:t xml:space="preserve"> du Projet.</w:t>
            </w:r>
          </w:p>
          <w:p w14:paraId="463A5AB1" w14:textId="77777777" w:rsidR="007B621D" w:rsidRPr="003A184B" w:rsidRDefault="007B621D" w:rsidP="00E52E94">
            <w:pPr>
              <w:autoSpaceDE w:val="0"/>
              <w:autoSpaceDN w:val="0"/>
              <w:adjustRightInd w:val="0"/>
              <w:jc w:val="both"/>
              <w:rPr>
                <w:rFonts w:ascii="CIDFont+F1" w:hAnsi="CIDFont+F1" w:cs="CIDFont+F1"/>
                <w:sz w:val="20"/>
                <w:szCs w:val="20"/>
              </w:rPr>
            </w:pPr>
          </w:p>
          <w:p w14:paraId="1374740F" w14:textId="77777777" w:rsidR="009C5E29" w:rsidRPr="003A184B" w:rsidRDefault="00DD6C0E" w:rsidP="00E52E94">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Ces</w:t>
            </w:r>
            <w:r w:rsidR="00104DCD" w:rsidRPr="003A184B">
              <w:rPr>
                <w:rFonts w:ascii="CIDFont+F1" w:hAnsi="CIDFont+F1" w:cs="CIDFont+F1"/>
                <w:sz w:val="20"/>
                <w:szCs w:val="20"/>
              </w:rPr>
              <w:t xml:space="preserve"> </w:t>
            </w:r>
            <w:r w:rsidRPr="003A184B">
              <w:rPr>
                <w:rFonts w:ascii="CIDFont+F1" w:hAnsi="CIDFont+F1" w:cs="CIDFont+F1"/>
                <w:sz w:val="20"/>
                <w:szCs w:val="20"/>
              </w:rPr>
              <w:t>incidents ou accidents peuvent inclure</w:t>
            </w:r>
            <w:r w:rsidR="009C5E29" w:rsidRPr="003A184B">
              <w:rPr>
                <w:rFonts w:ascii="CIDFont+F1" w:hAnsi="CIDFont+F1" w:cs="CIDFont+F1"/>
                <w:sz w:val="20"/>
                <w:szCs w:val="20"/>
              </w:rPr>
              <w:t> :</w:t>
            </w:r>
          </w:p>
          <w:p w14:paraId="7CAF8418" w14:textId="1E285E22" w:rsidR="009C5E29" w:rsidRPr="003A184B" w:rsidRDefault="00A107E5" w:rsidP="004F5FD9">
            <w:pPr>
              <w:pStyle w:val="ListParagraph"/>
              <w:numPr>
                <w:ilvl w:val="0"/>
                <w:numId w:val="37"/>
              </w:numPr>
              <w:autoSpaceDE w:val="0"/>
              <w:autoSpaceDN w:val="0"/>
              <w:adjustRightInd w:val="0"/>
              <w:spacing w:after="0"/>
              <w:ind w:left="301" w:hanging="283"/>
              <w:rPr>
                <w:rFonts w:ascii="CIDFont+F1" w:hAnsi="CIDFont+F1" w:cs="CIDFont+F1"/>
                <w:sz w:val="20"/>
                <w:szCs w:val="20"/>
              </w:rPr>
            </w:pPr>
            <w:proofErr w:type="gramStart"/>
            <w:r w:rsidRPr="003A184B">
              <w:rPr>
                <w:rFonts w:ascii="CIDFont+F1" w:hAnsi="CIDFont+F1" w:cs="CIDFont+F1"/>
                <w:sz w:val="20"/>
                <w:szCs w:val="20"/>
              </w:rPr>
              <w:t>l</w:t>
            </w:r>
            <w:r w:rsidR="00DD6C0E" w:rsidRPr="003A184B">
              <w:rPr>
                <w:rFonts w:ascii="CIDFont+F1" w:hAnsi="CIDFont+F1" w:cs="CIDFont+F1"/>
                <w:sz w:val="20"/>
                <w:szCs w:val="20"/>
              </w:rPr>
              <w:t>es</w:t>
            </w:r>
            <w:proofErr w:type="gramEnd"/>
            <w:r w:rsidR="00DD6C0E" w:rsidRPr="003A184B">
              <w:rPr>
                <w:rFonts w:ascii="CIDFont+F1" w:hAnsi="CIDFont+F1" w:cs="CIDFont+F1"/>
                <w:sz w:val="20"/>
                <w:szCs w:val="20"/>
              </w:rPr>
              <w:t xml:space="preserve"> pollutions des sols, des cours</w:t>
            </w:r>
            <w:r w:rsidR="00104DCD" w:rsidRPr="003A184B">
              <w:rPr>
                <w:rFonts w:ascii="CIDFont+F1" w:hAnsi="CIDFont+F1" w:cs="CIDFont+F1"/>
                <w:sz w:val="20"/>
                <w:szCs w:val="20"/>
              </w:rPr>
              <w:t xml:space="preserve"> </w:t>
            </w:r>
            <w:r w:rsidR="00DD6C0E" w:rsidRPr="003A184B">
              <w:rPr>
                <w:rFonts w:ascii="CIDFont+F1" w:hAnsi="CIDFont+F1" w:cs="CIDFont+F1"/>
                <w:sz w:val="20"/>
                <w:szCs w:val="20"/>
              </w:rPr>
              <w:t xml:space="preserve">et plans d’eau, </w:t>
            </w:r>
          </w:p>
          <w:p w14:paraId="5EC1D79E" w14:textId="77777777" w:rsidR="009C5E29" w:rsidRPr="003A184B" w:rsidRDefault="00DD6C0E" w:rsidP="004F5FD9">
            <w:pPr>
              <w:pStyle w:val="ListParagraph"/>
              <w:numPr>
                <w:ilvl w:val="0"/>
                <w:numId w:val="37"/>
              </w:numPr>
              <w:autoSpaceDE w:val="0"/>
              <w:autoSpaceDN w:val="0"/>
              <w:adjustRightInd w:val="0"/>
              <w:spacing w:after="0"/>
              <w:ind w:left="301" w:hanging="283"/>
              <w:rPr>
                <w:rFonts w:ascii="CIDFont+F1" w:hAnsi="CIDFont+F1" w:cs="CIDFont+F1"/>
                <w:sz w:val="20"/>
                <w:szCs w:val="20"/>
              </w:rPr>
            </w:pPr>
            <w:proofErr w:type="gramStart"/>
            <w:r w:rsidRPr="003A184B">
              <w:rPr>
                <w:rFonts w:ascii="CIDFont+F1" w:hAnsi="CIDFont+F1" w:cs="CIDFont+F1"/>
                <w:sz w:val="20"/>
                <w:szCs w:val="20"/>
              </w:rPr>
              <w:t>les</w:t>
            </w:r>
            <w:proofErr w:type="gramEnd"/>
            <w:r w:rsidRPr="003A184B">
              <w:rPr>
                <w:rFonts w:ascii="CIDFont+F1" w:hAnsi="CIDFont+F1" w:cs="CIDFont+F1"/>
                <w:sz w:val="20"/>
                <w:szCs w:val="20"/>
              </w:rPr>
              <w:t xml:space="preserve"> incidents ou</w:t>
            </w:r>
            <w:r w:rsidR="00104DCD" w:rsidRPr="003A184B">
              <w:rPr>
                <w:rFonts w:ascii="CIDFont+F1" w:hAnsi="CIDFont+F1" w:cs="CIDFont+F1"/>
                <w:sz w:val="20"/>
                <w:szCs w:val="20"/>
              </w:rPr>
              <w:t xml:space="preserve"> </w:t>
            </w:r>
            <w:r w:rsidRPr="003A184B">
              <w:rPr>
                <w:rFonts w:ascii="CIDFont+F1" w:hAnsi="CIDFont+F1" w:cs="CIDFont+F1"/>
                <w:sz w:val="20"/>
                <w:szCs w:val="20"/>
              </w:rPr>
              <w:t>accidents sur les chantiers du projet,</w:t>
            </w:r>
          </w:p>
          <w:p w14:paraId="51822B1A" w14:textId="77777777" w:rsidR="009C5E29" w:rsidRPr="003A184B" w:rsidRDefault="00DD6C0E" w:rsidP="004F5FD9">
            <w:pPr>
              <w:pStyle w:val="ListParagraph"/>
              <w:numPr>
                <w:ilvl w:val="0"/>
                <w:numId w:val="37"/>
              </w:numPr>
              <w:autoSpaceDE w:val="0"/>
              <w:autoSpaceDN w:val="0"/>
              <w:adjustRightInd w:val="0"/>
              <w:spacing w:after="0"/>
              <w:ind w:left="301" w:hanging="283"/>
              <w:rPr>
                <w:rFonts w:ascii="CIDFont+F1" w:hAnsi="CIDFont+F1" w:cs="CIDFont+F1"/>
                <w:sz w:val="20"/>
                <w:szCs w:val="20"/>
              </w:rPr>
            </w:pPr>
            <w:r w:rsidRPr="003A184B">
              <w:rPr>
                <w:rFonts w:ascii="CIDFont+F1" w:hAnsi="CIDFont+F1" w:cs="CIDFont+F1"/>
                <w:sz w:val="20"/>
                <w:szCs w:val="20"/>
              </w:rPr>
              <w:t xml:space="preserve"> </w:t>
            </w:r>
            <w:proofErr w:type="gramStart"/>
            <w:r w:rsidRPr="003A184B">
              <w:rPr>
                <w:rFonts w:ascii="CIDFont+F1" w:hAnsi="CIDFont+F1" w:cs="CIDFont+F1"/>
                <w:sz w:val="20"/>
                <w:szCs w:val="20"/>
              </w:rPr>
              <w:t>les</w:t>
            </w:r>
            <w:proofErr w:type="gramEnd"/>
            <w:r w:rsidRPr="003A184B">
              <w:rPr>
                <w:rFonts w:ascii="CIDFont+F1" w:hAnsi="CIDFont+F1" w:cs="CIDFont+F1"/>
                <w:sz w:val="20"/>
                <w:szCs w:val="20"/>
              </w:rPr>
              <w:t xml:space="preserve"> conflits </w:t>
            </w:r>
            <w:r w:rsidR="0032684B" w:rsidRPr="003A184B">
              <w:rPr>
                <w:rFonts w:ascii="CIDFont+F1" w:hAnsi="CIDFont+F1" w:cs="CIDFont+F1"/>
                <w:sz w:val="20"/>
                <w:szCs w:val="20"/>
              </w:rPr>
              <w:t xml:space="preserve">sociaux </w:t>
            </w:r>
            <w:r w:rsidRPr="003A184B">
              <w:rPr>
                <w:rFonts w:ascii="CIDFont+F1" w:hAnsi="CIDFont+F1" w:cs="CIDFont+F1"/>
                <w:sz w:val="20"/>
                <w:szCs w:val="20"/>
              </w:rPr>
              <w:t>liés à la</w:t>
            </w:r>
            <w:r w:rsidR="00104DCD" w:rsidRPr="003A184B">
              <w:rPr>
                <w:rFonts w:ascii="CIDFont+F1" w:hAnsi="CIDFont+F1" w:cs="CIDFont+F1"/>
                <w:sz w:val="20"/>
                <w:szCs w:val="20"/>
              </w:rPr>
              <w:t xml:space="preserve"> </w:t>
            </w:r>
            <w:r w:rsidR="0032684B" w:rsidRPr="003A184B">
              <w:rPr>
                <w:rFonts w:ascii="CIDFont+F1" w:hAnsi="CIDFont+F1" w:cs="CIDFont+F1"/>
                <w:sz w:val="20"/>
                <w:szCs w:val="20"/>
              </w:rPr>
              <w:t>l’</w:t>
            </w:r>
            <w:r w:rsidR="009C5E29" w:rsidRPr="003A184B">
              <w:rPr>
                <w:rFonts w:ascii="CIDFont+F1" w:hAnsi="CIDFont+F1" w:cs="CIDFont+F1"/>
                <w:sz w:val="20"/>
                <w:szCs w:val="20"/>
              </w:rPr>
              <w:t>opération</w:t>
            </w:r>
            <w:r w:rsidR="0032684B" w:rsidRPr="003A184B">
              <w:rPr>
                <w:rFonts w:ascii="CIDFont+F1" w:hAnsi="CIDFont+F1" w:cs="CIDFont+F1"/>
                <w:sz w:val="20"/>
                <w:szCs w:val="20"/>
              </w:rPr>
              <w:t xml:space="preserve"> de l’</w:t>
            </w:r>
            <w:r w:rsidR="009C5E29" w:rsidRPr="003A184B">
              <w:rPr>
                <w:rFonts w:ascii="CIDFont+F1" w:hAnsi="CIDFont+F1" w:cs="CIDFont+F1"/>
                <w:sz w:val="20"/>
                <w:szCs w:val="20"/>
              </w:rPr>
              <w:t>acquisition</w:t>
            </w:r>
            <w:r w:rsidR="0032684B" w:rsidRPr="003A184B">
              <w:rPr>
                <w:rFonts w:ascii="CIDFont+F1" w:hAnsi="CIDFont+F1" w:cs="CIDFont+F1"/>
                <w:sz w:val="20"/>
                <w:szCs w:val="20"/>
              </w:rPr>
              <w:t xml:space="preserve"> des terrains</w:t>
            </w:r>
            <w:r w:rsidRPr="003A184B">
              <w:rPr>
                <w:rFonts w:ascii="CIDFont+F1" w:hAnsi="CIDFont+F1" w:cs="CIDFont+F1"/>
                <w:sz w:val="20"/>
                <w:szCs w:val="20"/>
              </w:rPr>
              <w:t>, l’afflux de la main d’</w:t>
            </w:r>
            <w:r w:rsidR="00104DCD" w:rsidRPr="003A184B">
              <w:rPr>
                <w:rFonts w:ascii="CIDFont+F1" w:hAnsi="CIDFont+F1" w:cs="CIDFont+F1"/>
                <w:sz w:val="20"/>
                <w:szCs w:val="20"/>
              </w:rPr>
              <w:t>œuvre</w:t>
            </w:r>
            <w:r w:rsidRPr="003A184B">
              <w:rPr>
                <w:rFonts w:ascii="CIDFont+F1" w:hAnsi="CIDFont+F1" w:cs="CIDFont+F1"/>
                <w:sz w:val="20"/>
                <w:szCs w:val="20"/>
              </w:rPr>
              <w:t>,</w:t>
            </w:r>
          </w:p>
          <w:p w14:paraId="1D3D0861" w14:textId="33B48E7B" w:rsidR="009C5E29" w:rsidRPr="003A184B" w:rsidRDefault="00DD6C0E" w:rsidP="004F5FD9">
            <w:pPr>
              <w:pStyle w:val="ListParagraph"/>
              <w:numPr>
                <w:ilvl w:val="0"/>
                <w:numId w:val="37"/>
              </w:numPr>
              <w:autoSpaceDE w:val="0"/>
              <w:autoSpaceDN w:val="0"/>
              <w:adjustRightInd w:val="0"/>
              <w:spacing w:after="0"/>
              <w:ind w:left="301" w:hanging="283"/>
              <w:rPr>
                <w:rFonts w:ascii="CIDFont+F1" w:hAnsi="CIDFont+F1" w:cs="CIDFont+F1"/>
                <w:sz w:val="20"/>
                <w:szCs w:val="20"/>
              </w:rPr>
            </w:pPr>
            <w:r w:rsidRPr="003A184B">
              <w:rPr>
                <w:rFonts w:ascii="CIDFont+F1" w:hAnsi="CIDFont+F1" w:cs="CIDFont+F1"/>
                <w:sz w:val="20"/>
                <w:szCs w:val="20"/>
              </w:rPr>
              <w:t xml:space="preserve"> </w:t>
            </w:r>
            <w:proofErr w:type="gramStart"/>
            <w:r w:rsidRPr="003A184B">
              <w:rPr>
                <w:rFonts w:ascii="CIDFont+F1" w:hAnsi="CIDFont+F1" w:cs="CIDFont+F1"/>
                <w:sz w:val="20"/>
                <w:szCs w:val="20"/>
              </w:rPr>
              <w:t>les</w:t>
            </w:r>
            <w:proofErr w:type="gramEnd"/>
            <w:r w:rsidRPr="003A184B">
              <w:rPr>
                <w:rFonts w:ascii="CIDFont+F1" w:hAnsi="CIDFont+F1" w:cs="CIDFont+F1"/>
                <w:sz w:val="20"/>
                <w:szCs w:val="20"/>
              </w:rPr>
              <w:t xml:space="preserve"> cas de discrimination</w:t>
            </w:r>
            <w:r w:rsidR="00104DCD" w:rsidRPr="003A184B">
              <w:rPr>
                <w:rFonts w:ascii="CIDFont+F1" w:hAnsi="CIDFont+F1" w:cs="CIDFont+F1"/>
                <w:sz w:val="20"/>
                <w:szCs w:val="20"/>
              </w:rPr>
              <w:t xml:space="preserve"> </w:t>
            </w:r>
            <w:r w:rsidRPr="003A184B">
              <w:rPr>
                <w:rFonts w:ascii="CIDFont+F1" w:hAnsi="CIDFont+F1" w:cs="CIDFont+F1"/>
                <w:sz w:val="20"/>
                <w:szCs w:val="20"/>
              </w:rPr>
              <w:t>basée sur le genre tel que l’exclusion des personnes vulnérables</w:t>
            </w:r>
            <w:r w:rsidR="00104DCD" w:rsidRPr="003A184B">
              <w:rPr>
                <w:rFonts w:ascii="CIDFont+F1" w:hAnsi="CIDFont+F1" w:cs="CIDFont+F1"/>
                <w:sz w:val="20"/>
                <w:szCs w:val="20"/>
              </w:rPr>
              <w:t xml:space="preserve"> </w:t>
            </w:r>
            <w:r w:rsidRPr="003A184B">
              <w:rPr>
                <w:rFonts w:ascii="CIDFont+F1" w:hAnsi="CIDFont+F1" w:cs="CIDFont+F1"/>
                <w:sz w:val="20"/>
                <w:szCs w:val="20"/>
              </w:rPr>
              <w:t>(femmes, jeunes, personnes en situation d</w:t>
            </w:r>
            <w:r w:rsidR="00A107E5" w:rsidRPr="003A184B">
              <w:rPr>
                <w:rFonts w:ascii="CIDFont+F1" w:hAnsi="CIDFont+F1" w:cs="CIDFont+F1"/>
                <w:sz w:val="20"/>
                <w:szCs w:val="20"/>
              </w:rPr>
              <w:t>e</w:t>
            </w:r>
            <w:r w:rsidRPr="003A184B">
              <w:rPr>
                <w:rFonts w:ascii="CIDFont+F1" w:hAnsi="CIDFont+F1" w:cs="CIDFont+F1"/>
                <w:sz w:val="20"/>
                <w:szCs w:val="20"/>
              </w:rPr>
              <w:t xml:space="preserve"> handicap), </w:t>
            </w:r>
          </w:p>
          <w:p w14:paraId="7E042CE7" w14:textId="77777777" w:rsidR="009C5E29" w:rsidRPr="003A184B" w:rsidRDefault="00DD6C0E" w:rsidP="004F5FD9">
            <w:pPr>
              <w:pStyle w:val="ListParagraph"/>
              <w:numPr>
                <w:ilvl w:val="0"/>
                <w:numId w:val="37"/>
              </w:numPr>
              <w:autoSpaceDE w:val="0"/>
              <w:autoSpaceDN w:val="0"/>
              <w:adjustRightInd w:val="0"/>
              <w:spacing w:after="0"/>
              <w:ind w:left="301" w:hanging="283"/>
              <w:rPr>
                <w:rFonts w:ascii="CIDFont+F1" w:hAnsi="CIDFont+F1" w:cs="CIDFont+F1"/>
                <w:sz w:val="20"/>
                <w:szCs w:val="20"/>
              </w:rPr>
            </w:pPr>
            <w:proofErr w:type="gramStart"/>
            <w:r w:rsidRPr="003A184B">
              <w:rPr>
                <w:rFonts w:ascii="CIDFont+F1" w:hAnsi="CIDFont+F1" w:cs="CIDFont+F1"/>
                <w:sz w:val="20"/>
                <w:szCs w:val="20"/>
              </w:rPr>
              <w:t>les</w:t>
            </w:r>
            <w:proofErr w:type="gramEnd"/>
            <w:r w:rsidRPr="003A184B">
              <w:rPr>
                <w:rFonts w:ascii="CIDFont+F1" w:hAnsi="CIDFont+F1" w:cs="CIDFont+F1"/>
                <w:sz w:val="20"/>
                <w:szCs w:val="20"/>
              </w:rPr>
              <w:t xml:space="preserve"> cas de EAS/HS, la gestion des plaintes. </w:t>
            </w:r>
          </w:p>
          <w:p w14:paraId="44756D72" w14:textId="77777777" w:rsidR="004F5FD9" w:rsidRPr="003A184B" w:rsidRDefault="004F5FD9" w:rsidP="009C5E29">
            <w:pPr>
              <w:autoSpaceDE w:val="0"/>
              <w:autoSpaceDN w:val="0"/>
              <w:adjustRightInd w:val="0"/>
              <w:rPr>
                <w:rFonts w:ascii="CIDFont+F1" w:hAnsi="CIDFont+F1" w:cs="CIDFont+F1"/>
                <w:sz w:val="20"/>
                <w:szCs w:val="20"/>
              </w:rPr>
            </w:pPr>
          </w:p>
          <w:p w14:paraId="4CA2E434" w14:textId="5ACF014A" w:rsidR="00DD6C0E" w:rsidRPr="003A184B" w:rsidRDefault="004F5FD9" w:rsidP="009C5E29">
            <w:pPr>
              <w:autoSpaceDE w:val="0"/>
              <w:autoSpaceDN w:val="0"/>
              <w:adjustRightInd w:val="0"/>
              <w:rPr>
                <w:rFonts w:ascii="CIDFont+F1" w:hAnsi="CIDFont+F1" w:cs="CIDFont+F1"/>
                <w:sz w:val="20"/>
                <w:szCs w:val="20"/>
              </w:rPr>
            </w:pPr>
            <w:r w:rsidRPr="003A184B">
              <w:rPr>
                <w:rFonts w:ascii="CIDFont+F1" w:hAnsi="CIDFont+F1" w:cs="CIDFont+F1"/>
                <w:sz w:val="20"/>
                <w:szCs w:val="20"/>
              </w:rPr>
              <w:t>L’UGP</w:t>
            </w:r>
            <w:r w:rsidR="00A107E5" w:rsidRPr="003A184B">
              <w:rPr>
                <w:rFonts w:ascii="CIDFont+F1" w:hAnsi="CIDFont+F1" w:cs="CIDFont+F1"/>
                <w:sz w:val="20"/>
                <w:szCs w:val="20"/>
              </w:rPr>
              <w:t>R</w:t>
            </w:r>
            <w:r w:rsidRPr="003A184B">
              <w:rPr>
                <w:rFonts w:ascii="CIDFont+F1" w:hAnsi="CIDFont+F1" w:cs="CIDFont+F1"/>
                <w:sz w:val="20"/>
                <w:szCs w:val="20"/>
              </w:rPr>
              <w:t xml:space="preserve"> </w:t>
            </w:r>
            <w:r w:rsidR="00A107E5" w:rsidRPr="003A184B">
              <w:rPr>
                <w:rFonts w:ascii="CIDFont+F1" w:hAnsi="CIDFont+F1" w:cs="CIDFont+F1"/>
                <w:sz w:val="20"/>
                <w:szCs w:val="20"/>
              </w:rPr>
              <w:t>f</w:t>
            </w:r>
            <w:r w:rsidR="00DD6C0E" w:rsidRPr="003A184B">
              <w:rPr>
                <w:rFonts w:ascii="CIDFont+F1" w:hAnsi="CIDFont+F1" w:cs="CIDFont+F1"/>
                <w:sz w:val="20"/>
                <w:szCs w:val="20"/>
              </w:rPr>
              <w:t>ournir</w:t>
            </w:r>
            <w:r w:rsidRPr="003A184B">
              <w:rPr>
                <w:rFonts w:ascii="CIDFont+F1" w:hAnsi="CIDFont+F1" w:cs="CIDFont+F1"/>
                <w:sz w:val="20"/>
                <w:szCs w:val="20"/>
              </w:rPr>
              <w:t>a</w:t>
            </w:r>
            <w:r w:rsidR="00104DCD" w:rsidRPr="003A184B">
              <w:rPr>
                <w:rFonts w:ascii="CIDFont+F1" w:hAnsi="CIDFont+F1" w:cs="CIDFont+F1"/>
                <w:sz w:val="20"/>
                <w:szCs w:val="20"/>
              </w:rPr>
              <w:t xml:space="preserve"> </w:t>
            </w:r>
            <w:r w:rsidR="00DD6C0E" w:rsidRPr="003A184B">
              <w:rPr>
                <w:rFonts w:ascii="CIDFont+F1" w:hAnsi="CIDFont+F1" w:cs="CIDFont+F1"/>
                <w:sz w:val="20"/>
                <w:szCs w:val="20"/>
              </w:rPr>
              <w:t>des détails suffisants sur l’incident ou l’accident, en indiquant les mesures</w:t>
            </w:r>
            <w:r w:rsidR="00900ADC" w:rsidRPr="003A184B">
              <w:rPr>
                <w:rFonts w:ascii="CIDFont+F1" w:hAnsi="CIDFont+F1" w:cs="CIDFont+F1"/>
                <w:sz w:val="20"/>
                <w:szCs w:val="20"/>
              </w:rPr>
              <w:t xml:space="preserve"> </w:t>
            </w:r>
            <w:r w:rsidR="00DD6C0E" w:rsidRPr="003A184B">
              <w:rPr>
                <w:rFonts w:ascii="CIDFont+F1" w:hAnsi="CIDFont+F1" w:cs="CIDFont+F1"/>
                <w:sz w:val="20"/>
                <w:szCs w:val="20"/>
              </w:rPr>
              <w:t>prises sans délai pour y faire face et en incluant les informations mises à</w:t>
            </w:r>
            <w:r w:rsidR="00900ADC" w:rsidRPr="003A184B">
              <w:rPr>
                <w:rFonts w:ascii="CIDFont+F1" w:hAnsi="CIDFont+F1" w:cs="CIDFont+F1"/>
                <w:sz w:val="20"/>
                <w:szCs w:val="20"/>
              </w:rPr>
              <w:t xml:space="preserve"> </w:t>
            </w:r>
            <w:r w:rsidR="00DD6C0E" w:rsidRPr="003A184B">
              <w:rPr>
                <w:rFonts w:ascii="CIDFont+F1" w:hAnsi="CIDFont+F1" w:cs="CIDFont+F1"/>
                <w:sz w:val="20"/>
                <w:szCs w:val="20"/>
              </w:rPr>
              <w:t>disposition par tout fournisseur ou prestataire et par l’entité de</w:t>
            </w:r>
            <w:r w:rsidR="00900ADC" w:rsidRPr="003A184B">
              <w:rPr>
                <w:rFonts w:ascii="CIDFont+F1" w:hAnsi="CIDFont+F1" w:cs="CIDFont+F1"/>
                <w:sz w:val="20"/>
                <w:szCs w:val="20"/>
              </w:rPr>
              <w:t xml:space="preserve"> </w:t>
            </w:r>
            <w:r w:rsidR="00DD6C0E" w:rsidRPr="003A184B">
              <w:rPr>
                <w:rFonts w:ascii="CIDFont+F1" w:hAnsi="CIDFont+F1" w:cs="CIDFont+F1"/>
                <w:sz w:val="20"/>
                <w:szCs w:val="20"/>
              </w:rPr>
              <w:t>supervision, le cas échéant. Pour les plaintes EAS/HS, aucune information</w:t>
            </w:r>
            <w:r w:rsidR="00900ADC" w:rsidRPr="003A184B">
              <w:rPr>
                <w:rFonts w:ascii="CIDFont+F1" w:hAnsi="CIDFont+F1" w:cs="CIDFont+F1"/>
                <w:sz w:val="20"/>
                <w:szCs w:val="20"/>
              </w:rPr>
              <w:t xml:space="preserve"> </w:t>
            </w:r>
            <w:r w:rsidR="00DD6C0E" w:rsidRPr="003A184B">
              <w:rPr>
                <w:rFonts w:ascii="CIDFont+F1" w:hAnsi="CIDFont+F1" w:cs="CIDFont+F1"/>
                <w:sz w:val="20"/>
                <w:szCs w:val="20"/>
              </w:rPr>
              <w:t>identifiable sur l’identité du/de la plaignant(e) ne figurera dans ladite</w:t>
            </w:r>
            <w:r w:rsidR="00900ADC" w:rsidRPr="003A184B">
              <w:rPr>
                <w:rFonts w:ascii="CIDFont+F1" w:hAnsi="CIDFont+F1" w:cs="CIDFont+F1"/>
                <w:sz w:val="20"/>
                <w:szCs w:val="20"/>
              </w:rPr>
              <w:t xml:space="preserve"> </w:t>
            </w:r>
            <w:r w:rsidR="00DD6C0E" w:rsidRPr="003A184B">
              <w:rPr>
                <w:rFonts w:ascii="CIDFont+F1" w:hAnsi="CIDFont+F1" w:cs="CIDFont+F1"/>
                <w:sz w:val="20"/>
                <w:szCs w:val="20"/>
              </w:rPr>
              <w:t>notification.</w:t>
            </w:r>
          </w:p>
          <w:p w14:paraId="4270E5CF" w14:textId="77777777" w:rsidR="00900ADC" w:rsidRPr="003A184B" w:rsidRDefault="00900ADC" w:rsidP="00DD6C0E">
            <w:pPr>
              <w:autoSpaceDE w:val="0"/>
              <w:autoSpaceDN w:val="0"/>
              <w:adjustRightInd w:val="0"/>
              <w:rPr>
                <w:rFonts w:ascii="CIDFont+F1" w:hAnsi="CIDFont+F1" w:cs="CIDFont+F1"/>
                <w:sz w:val="20"/>
                <w:szCs w:val="20"/>
              </w:rPr>
            </w:pPr>
          </w:p>
          <w:p w14:paraId="52B4598C" w14:textId="69C57F03" w:rsidR="00502173" w:rsidRDefault="00F519CF" w:rsidP="00F519CF">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 xml:space="preserve">L’UGPR transmettra un formulaire standard de rapport d'incident/accident à tous les prestataires et fournisseurs. Ce formulaire ne s'appliquera pas aux incidents de VBG/EAS/HS pour lesquels un protocole de partage d'informations doit inclure uniquement les informations anonymisées suivantes, y compris la date de réception de l'incident ; date de l'incident ; type de VBG/EAS/HS signalé ; âge/sexe du survivant ; si l'incident est lié au projet (selon </w:t>
            </w:r>
            <w:r w:rsidR="00A846CF" w:rsidRPr="003A184B">
              <w:rPr>
                <w:rFonts w:ascii="CIDFont+F1" w:hAnsi="CIDFont+F1" w:cs="CIDFont+F1"/>
                <w:sz w:val="20"/>
                <w:szCs w:val="20"/>
              </w:rPr>
              <w:t>l</w:t>
            </w:r>
            <w:r w:rsidR="00A846CF">
              <w:rPr>
                <w:rFonts w:ascii="CIDFont+F1" w:hAnsi="CIDFont+F1" w:cs="CIDFont+F1"/>
                <w:sz w:val="20"/>
                <w:szCs w:val="20"/>
              </w:rPr>
              <w:t>e</w:t>
            </w:r>
            <w:r w:rsidR="00A846CF" w:rsidRPr="003A184B">
              <w:rPr>
                <w:rFonts w:ascii="CIDFont+F1" w:hAnsi="CIDFont+F1" w:cs="CIDFont+F1"/>
                <w:sz w:val="20"/>
                <w:szCs w:val="20"/>
              </w:rPr>
              <w:t xml:space="preserve"> survivant </w:t>
            </w:r>
            <w:r w:rsidRPr="003A184B">
              <w:rPr>
                <w:rFonts w:ascii="CIDFont+F1" w:hAnsi="CIDFont+F1" w:cs="CIDFont+F1"/>
                <w:sz w:val="20"/>
                <w:szCs w:val="20"/>
              </w:rPr>
              <w:t>et/ou sa famille) ; si l</w:t>
            </w:r>
            <w:r w:rsidR="00A846CF">
              <w:rPr>
                <w:rFonts w:ascii="CIDFont+F1" w:hAnsi="CIDFont+F1" w:cs="CIDFont+F1"/>
                <w:sz w:val="20"/>
                <w:szCs w:val="20"/>
              </w:rPr>
              <w:t>e</w:t>
            </w:r>
            <w:r w:rsidRPr="003A184B">
              <w:rPr>
                <w:rFonts w:ascii="CIDFont+F1" w:hAnsi="CIDFont+F1" w:cs="CIDFont+F1"/>
                <w:sz w:val="20"/>
                <w:szCs w:val="20"/>
              </w:rPr>
              <w:t xml:space="preserve"> survivant a été orientée vers des services.</w:t>
            </w:r>
          </w:p>
          <w:p w14:paraId="4DA2D904" w14:textId="490BD205" w:rsidR="00A846CF" w:rsidRPr="003A184B" w:rsidRDefault="00A846CF" w:rsidP="00F519CF">
            <w:pPr>
              <w:autoSpaceDE w:val="0"/>
              <w:autoSpaceDN w:val="0"/>
              <w:adjustRightInd w:val="0"/>
              <w:jc w:val="both"/>
              <w:rPr>
                <w:rFonts w:ascii="CIDFont+F6" w:hAnsi="CIDFont+F6" w:cs="CIDFont+F6"/>
                <w:sz w:val="20"/>
                <w:szCs w:val="20"/>
              </w:rPr>
            </w:pPr>
            <w:r w:rsidRPr="00A846CF">
              <w:rPr>
                <w:rFonts w:ascii="CIDFont+F6" w:hAnsi="CIDFont+F6" w:cs="CIDFont+F6"/>
                <w:sz w:val="20"/>
                <w:szCs w:val="20"/>
              </w:rPr>
              <w:t>Par la suite, à la demande de la Banque, préparer un rapport sur l'incident ou l'accident et proposer toute mesure pour y remédier et éviter qu'il ne se reproduise.</w:t>
            </w:r>
          </w:p>
        </w:tc>
        <w:tc>
          <w:tcPr>
            <w:tcW w:w="3780" w:type="dxa"/>
            <w:tcBorders>
              <w:bottom w:val="single" w:sz="4" w:space="0" w:color="000000"/>
            </w:tcBorders>
          </w:tcPr>
          <w:p w14:paraId="0F3D48B4" w14:textId="7463A8A5" w:rsidR="006040C7" w:rsidRPr="003A184B" w:rsidRDefault="006040C7" w:rsidP="005D394E">
            <w:pPr>
              <w:keepLines/>
              <w:widowControl w:val="0"/>
              <w:rPr>
                <w:rFonts w:ascii="CIDFont+F6" w:hAnsi="CIDFont+F6" w:cs="CIDFont+F6"/>
                <w:sz w:val="20"/>
                <w:szCs w:val="20"/>
              </w:rPr>
            </w:pPr>
          </w:p>
          <w:p w14:paraId="4AA70BD6" w14:textId="77777777" w:rsidR="006040C7" w:rsidRPr="003A184B" w:rsidRDefault="006040C7" w:rsidP="005D394E">
            <w:pPr>
              <w:keepLines/>
              <w:widowControl w:val="0"/>
              <w:rPr>
                <w:rFonts w:ascii="CIDFont+F6" w:hAnsi="CIDFont+F6" w:cs="CIDFont+F6"/>
                <w:sz w:val="20"/>
                <w:szCs w:val="20"/>
              </w:rPr>
            </w:pPr>
          </w:p>
          <w:p w14:paraId="14491B76" w14:textId="322E95FB" w:rsidR="009A3D71" w:rsidRPr="003A184B" w:rsidRDefault="00F519CF" w:rsidP="00ED45A9">
            <w:pPr>
              <w:autoSpaceDE w:val="0"/>
              <w:autoSpaceDN w:val="0"/>
              <w:adjustRightInd w:val="0"/>
              <w:rPr>
                <w:rFonts w:ascii="CIDFont+F6" w:hAnsi="CIDFont+F6" w:cs="CIDFont+F6"/>
                <w:sz w:val="20"/>
                <w:szCs w:val="20"/>
              </w:rPr>
            </w:pPr>
            <w:r w:rsidRPr="003A184B">
              <w:rPr>
                <w:rFonts w:ascii="CIDFont+F6" w:hAnsi="CIDFont+F6" w:cs="CIDFont+F6"/>
                <w:sz w:val="20"/>
                <w:szCs w:val="20"/>
              </w:rPr>
              <w:t>L'Emprunteur informera sans délai la Banque de tout accident/incident par écrit immédiatement et au plus tard 48 heures après avoir été informé de ces incidents ou accidents graves, et au plus tard 24 heures pour les accidents très graves, y compris les incidents de VBG ou les décès,</w:t>
            </w:r>
          </w:p>
          <w:p w14:paraId="01C1CEB3" w14:textId="31031438" w:rsidR="005C3990" w:rsidRPr="003A184B" w:rsidRDefault="005C3990" w:rsidP="00ED45A9">
            <w:pPr>
              <w:autoSpaceDE w:val="0"/>
              <w:autoSpaceDN w:val="0"/>
              <w:adjustRightInd w:val="0"/>
              <w:rPr>
                <w:rFonts w:ascii="CIDFont+F6" w:hAnsi="CIDFont+F6" w:cs="CIDFont+F6"/>
                <w:sz w:val="20"/>
                <w:szCs w:val="20"/>
              </w:rPr>
            </w:pPr>
          </w:p>
          <w:p w14:paraId="6C0BB483" w14:textId="5EDEC7D9" w:rsidR="00F519CF" w:rsidRPr="003A184B" w:rsidRDefault="00F519CF" w:rsidP="00F519CF">
            <w:pPr>
              <w:autoSpaceDE w:val="0"/>
              <w:autoSpaceDN w:val="0"/>
              <w:adjustRightInd w:val="0"/>
              <w:rPr>
                <w:rFonts w:ascii="CIDFont+F6" w:hAnsi="CIDFont+F6" w:cs="CIDFont+F6"/>
                <w:sz w:val="20"/>
                <w:szCs w:val="20"/>
              </w:rPr>
            </w:pPr>
            <w:r w:rsidRPr="003A184B">
              <w:rPr>
                <w:rFonts w:ascii="CIDFont+F6" w:hAnsi="CIDFont+F6" w:cs="CIDFont+F6"/>
                <w:sz w:val="20"/>
                <w:szCs w:val="20"/>
              </w:rPr>
              <w:t>Ce système de notification sera en vigueur tout au long du projet.</w:t>
            </w:r>
          </w:p>
          <w:p w14:paraId="5E2B6E53" w14:textId="43345904" w:rsidR="000A3317" w:rsidRPr="003A184B" w:rsidRDefault="000A3317" w:rsidP="00ED45A9">
            <w:pPr>
              <w:autoSpaceDE w:val="0"/>
              <w:autoSpaceDN w:val="0"/>
              <w:adjustRightInd w:val="0"/>
              <w:rPr>
                <w:rFonts w:ascii="CIDFont+F6" w:hAnsi="CIDFont+F6" w:cs="CIDFont+F6"/>
                <w:sz w:val="20"/>
                <w:szCs w:val="20"/>
              </w:rPr>
            </w:pPr>
          </w:p>
          <w:p w14:paraId="4A47D9C0" w14:textId="77777777" w:rsidR="000A3317" w:rsidRPr="003A184B" w:rsidRDefault="000A3317" w:rsidP="00ED45A9">
            <w:pPr>
              <w:autoSpaceDE w:val="0"/>
              <w:autoSpaceDN w:val="0"/>
              <w:adjustRightInd w:val="0"/>
              <w:rPr>
                <w:rFonts w:ascii="CIDFont+F6" w:hAnsi="CIDFont+F6" w:cs="CIDFont+F6"/>
                <w:sz w:val="20"/>
                <w:szCs w:val="20"/>
              </w:rPr>
            </w:pPr>
          </w:p>
          <w:p w14:paraId="7FF6A325" w14:textId="77777777" w:rsidR="005C3990" w:rsidRPr="003A184B" w:rsidRDefault="005C3990" w:rsidP="00ED45A9">
            <w:pPr>
              <w:autoSpaceDE w:val="0"/>
              <w:autoSpaceDN w:val="0"/>
              <w:adjustRightInd w:val="0"/>
              <w:rPr>
                <w:rFonts w:ascii="CIDFont+F6" w:hAnsi="CIDFont+F6" w:cs="CIDFont+F6"/>
                <w:sz w:val="20"/>
                <w:szCs w:val="20"/>
              </w:rPr>
            </w:pPr>
          </w:p>
          <w:p w14:paraId="5082DC7E" w14:textId="77777777" w:rsidR="002C1F77" w:rsidRPr="003A184B" w:rsidRDefault="002C1F77" w:rsidP="002C1F77">
            <w:pPr>
              <w:autoSpaceDE w:val="0"/>
              <w:autoSpaceDN w:val="0"/>
              <w:adjustRightInd w:val="0"/>
              <w:rPr>
                <w:rFonts w:ascii="CIDFont+F6" w:hAnsi="CIDFont+F6" w:cs="CIDFont+F6"/>
                <w:sz w:val="20"/>
                <w:szCs w:val="20"/>
              </w:rPr>
            </w:pPr>
          </w:p>
          <w:p w14:paraId="24D409F9" w14:textId="77777777" w:rsidR="002C1F77" w:rsidRPr="003A184B" w:rsidRDefault="002C1F77" w:rsidP="002C1F77">
            <w:pPr>
              <w:autoSpaceDE w:val="0"/>
              <w:autoSpaceDN w:val="0"/>
              <w:adjustRightInd w:val="0"/>
              <w:rPr>
                <w:rFonts w:ascii="CIDFont+F6" w:hAnsi="CIDFont+F6" w:cs="CIDFont+F6"/>
                <w:sz w:val="20"/>
                <w:szCs w:val="20"/>
              </w:rPr>
            </w:pPr>
          </w:p>
          <w:p w14:paraId="18718205" w14:textId="77777777" w:rsidR="002C1F77" w:rsidRPr="003A184B" w:rsidRDefault="002C1F77" w:rsidP="002C1F77">
            <w:pPr>
              <w:autoSpaceDE w:val="0"/>
              <w:autoSpaceDN w:val="0"/>
              <w:adjustRightInd w:val="0"/>
              <w:rPr>
                <w:rFonts w:ascii="CIDFont+F6" w:hAnsi="CIDFont+F6" w:cs="CIDFont+F6"/>
                <w:sz w:val="20"/>
                <w:szCs w:val="20"/>
              </w:rPr>
            </w:pPr>
          </w:p>
          <w:p w14:paraId="6C424F9A" w14:textId="77777777" w:rsidR="002C1F77" w:rsidRPr="003A184B" w:rsidRDefault="002C1F77" w:rsidP="002C1F77">
            <w:pPr>
              <w:autoSpaceDE w:val="0"/>
              <w:autoSpaceDN w:val="0"/>
              <w:adjustRightInd w:val="0"/>
              <w:rPr>
                <w:rFonts w:ascii="CIDFont+F6" w:hAnsi="CIDFont+F6" w:cs="CIDFont+F6"/>
                <w:sz w:val="20"/>
                <w:szCs w:val="20"/>
              </w:rPr>
            </w:pPr>
          </w:p>
          <w:p w14:paraId="36581C43" w14:textId="77777777" w:rsidR="002C1F77" w:rsidRPr="003A184B" w:rsidRDefault="002C1F77" w:rsidP="002C1F77">
            <w:pPr>
              <w:autoSpaceDE w:val="0"/>
              <w:autoSpaceDN w:val="0"/>
              <w:adjustRightInd w:val="0"/>
              <w:rPr>
                <w:rFonts w:ascii="CIDFont+F6" w:hAnsi="CIDFont+F6" w:cs="CIDFont+F6"/>
                <w:sz w:val="20"/>
                <w:szCs w:val="20"/>
              </w:rPr>
            </w:pPr>
          </w:p>
          <w:p w14:paraId="718A03BD" w14:textId="77777777" w:rsidR="002C1F77" w:rsidRPr="003A184B" w:rsidRDefault="002C1F77" w:rsidP="002C1F77">
            <w:pPr>
              <w:autoSpaceDE w:val="0"/>
              <w:autoSpaceDN w:val="0"/>
              <w:adjustRightInd w:val="0"/>
              <w:rPr>
                <w:rFonts w:ascii="CIDFont+F6" w:hAnsi="CIDFont+F6" w:cs="CIDFont+F6"/>
                <w:sz w:val="20"/>
                <w:szCs w:val="20"/>
              </w:rPr>
            </w:pPr>
          </w:p>
          <w:p w14:paraId="5E583E6A" w14:textId="61FB7368" w:rsidR="002C1F77" w:rsidRPr="003A184B" w:rsidRDefault="002C1F77" w:rsidP="002C1F77">
            <w:pPr>
              <w:autoSpaceDE w:val="0"/>
              <w:autoSpaceDN w:val="0"/>
              <w:adjustRightInd w:val="0"/>
              <w:rPr>
                <w:rFonts w:ascii="CIDFont+F6" w:hAnsi="CIDFont+F6" w:cs="CIDFont+F6"/>
                <w:sz w:val="20"/>
                <w:szCs w:val="20"/>
              </w:rPr>
            </w:pPr>
          </w:p>
          <w:p w14:paraId="068737E6" w14:textId="0C78213D" w:rsidR="00AF440E" w:rsidRPr="003A184B" w:rsidRDefault="00AF440E" w:rsidP="002C1F77">
            <w:pPr>
              <w:autoSpaceDE w:val="0"/>
              <w:autoSpaceDN w:val="0"/>
              <w:adjustRightInd w:val="0"/>
              <w:rPr>
                <w:rFonts w:ascii="CIDFont+F6" w:hAnsi="CIDFont+F6" w:cs="CIDFont+F6"/>
                <w:sz w:val="20"/>
                <w:szCs w:val="20"/>
              </w:rPr>
            </w:pPr>
          </w:p>
          <w:p w14:paraId="779FDADA" w14:textId="77777777" w:rsidR="00AF440E" w:rsidRPr="003A184B" w:rsidRDefault="00AF440E" w:rsidP="002C1F77">
            <w:pPr>
              <w:autoSpaceDE w:val="0"/>
              <w:autoSpaceDN w:val="0"/>
              <w:adjustRightInd w:val="0"/>
              <w:rPr>
                <w:rFonts w:ascii="CIDFont+F6" w:hAnsi="CIDFont+F6" w:cs="CIDFont+F6"/>
                <w:sz w:val="20"/>
                <w:szCs w:val="20"/>
              </w:rPr>
            </w:pPr>
          </w:p>
          <w:p w14:paraId="047CDDA9" w14:textId="77777777" w:rsidR="00AF440E" w:rsidRPr="003A184B" w:rsidRDefault="00AF440E" w:rsidP="002C1F77">
            <w:pPr>
              <w:autoSpaceDE w:val="0"/>
              <w:autoSpaceDN w:val="0"/>
              <w:adjustRightInd w:val="0"/>
              <w:rPr>
                <w:rFonts w:ascii="CIDFont+F6" w:hAnsi="CIDFont+F6" w:cs="CIDFont+F6"/>
                <w:sz w:val="20"/>
                <w:szCs w:val="20"/>
              </w:rPr>
            </w:pPr>
          </w:p>
          <w:p w14:paraId="7BFE161A" w14:textId="77777777" w:rsidR="00F519CF" w:rsidRPr="003A184B" w:rsidRDefault="00F519CF" w:rsidP="002C1F77">
            <w:pPr>
              <w:autoSpaceDE w:val="0"/>
              <w:autoSpaceDN w:val="0"/>
              <w:adjustRightInd w:val="0"/>
              <w:rPr>
                <w:rFonts w:ascii="CIDFont+F6" w:hAnsi="CIDFont+F6" w:cs="CIDFont+F6"/>
                <w:sz w:val="20"/>
                <w:szCs w:val="20"/>
              </w:rPr>
            </w:pPr>
          </w:p>
          <w:p w14:paraId="7718F2C8" w14:textId="6DEB6E94" w:rsidR="003912CD" w:rsidRPr="003A184B" w:rsidRDefault="00546E2E" w:rsidP="002C1F77">
            <w:pPr>
              <w:autoSpaceDE w:val="0"/>
              <w:autoSpaceDN w:val="0"/>
              <w:adjustRightInd w:val="0"/>
              <w:rPr>
                <w:rFonts w:ascii="CIDFont+F6" w:hAnsi="CIDFont+F6" w:cs="CIDFont+F6"/>
                <w:sz w:val="20"/>
                <w:szCs w:val="20"/>
              </w:rPr>
            </w:pPr>
            <w:r w:rsidRPr="003A184B">
              <w:rPr>
                <w:rFonts w:ascii="CIDFont+F6" w:hAnsi="CIDFont+F6" w:cs="CIDFont+F6"/>
                <w:sz w:val="20"/>
                <w:szCs w:val="20"/>
              </w:rPr>
              <w:t>Dès</w:t>
            </w:r>
            <w:r w:rsidR="008D5B80" w:rsidRPr="003A184B">
              <w:rPr>
                <w:rFonts w:ascii="CIDFont+F6" w:hAnsi="CIDFont+F6" w:cs="CIDFont+F6"/>
                <w:sz w:val="20"/>
                <w:szCs w:val="20"/>
              </w:rPr>
              <w:t xml:space="preserve"> l’attribution</w:t>
            </w:r>
            <w:r w:rsidR="00AF440E" w:rsidRPr="003A184B">
              <w:rPr>
                <w:rFonts w:ascii="CIDFont+F6" w:hAnsi="CIDFont+F6" w:cs="CIDFont+F6"/>
                <w:sz w:val="20"/>
                <w:szCs w:val="20"/>
              </w:rPr>
              <w:t xml:space="preserve"> des marchés des travaux</w:t>
            </w:r>
          </w:p>
          <w:p w14:paraId="53D19B27" w14:textId="2B39F924" w:rsidR="003912CD" w:rsidRPr="003A184B" w:rsidRDefault="003912CD" w:rsidP="002C1F77">
            <w:pPr>
              <w:autoSpaceDE w:val="0"/>
              <w:autoSpaceDN w:val="0"/>
              <w:adjustRightInd w:val="0"/>
              <w:rPr>
                <w:rFonts w:ascii="CIDFont+F6" w:hAnsi="CIDFont+F6" w:cs="CIDFont+F6"/>
                <w:sz w:val="20"/>
                <w:szCs w:val="20"/>
              </w:rPr>
            </w:pPr>
          </w:p>
          <w:p w14:paraId="36A31DEC" w14:textId="77777777" w:rsidR="002C1F77" w:rsidRPr="003A184B" w:rsidRDefault="002C1F77" w:rsidP="002C1F77">
            <w:pPr>
              <w:autoSpaceDE w:val="0"/>
              <w:autoSpaceDN w:val="0"/>
              <w:adjustRightInd w:val="0"/>
              <w:rPr>
                <w:rFonts w:ascii="CIDFont+F6" w:hAnsi="CIDFont+F6" w:cs="CIDFont+F6"/>
                <w:sz w:val="20"/>
                <w:szCs w:val="20"/>
              </w:rPr>
            </w:pPr>
          </w:p>
          <w:p w14:paraId="0C4FA76F" w14:textId="2700BA65" w:rsidR="003A2C36" w:rsidRPr="003A184B" w:rsidRDefault="003A2C36" w:rsidP="003912CD">
            <w:pPr>
              <w:autoSpaceDE w:val="0"/>
              <w:autoSpaceDN w:val="0"/>
              <w:adjustRightInd w:val="0"/>
              <w:jc w:val="both"/>
              <w:rPr>
                <w:rFonts w:ascii="CIDFont+F6" w:hAnsi="CIDFont+F6" w:cs="CIDFont+F6"/>
                <w:sz w:val="20"/>
                <w:szCs w:val="20"/>
              </w:rPr>
            </w:pPr>
          </w:p>
          <w:p w14:paraId="64A7C337" w14:textId="77777777" w:rsidR="003A2C36" w:rsidRPr="003A184B" w:rsidRDefault="003A2C36" w:rsidP="003912CD">
            <w:pPr>
              <w:autoSpaceDE w:val="0"/>
              <w:autoSpaceDN w:val="0"/>
              <w:adjustRightInd w:val="0"/>
              <w:jc w:val="both"/>
              <w:rPr>
                <w:rFonts w:ascii="CIDFont+F6" w:hAnsi="CIDFont+F6" w:cs="CIDFont+F6"/>
                <w:sz w:val="20"/>
                <w:szCs w:val="20"/>
              </w:rPr>
            </w:pPr>
          </w:p>
          <w:p w14:paraId="76B1B4A2" w14:textId="77777777" w:rsidR="003A2C36" w:rsidRPr="003A184B" w:rsidRDefault="003A2C36" w:rsidP="003912CD">
            <w:pPr>
              <w:autoSpaceDE w:val="0"/>
              <w:autoSpaceDN w:val="0"/>
              <w:adjustRightInd w:val="0"/>
              <w:jc w:val="both"/>
              <w:rPr>
                <w:rFonts w:ascii="CIDFont+F6" w:hAnsi="CIDFont+F6" w:cs="CIDFont+F6"/>
                <w:sz w:val="20"/>
                <w:szCs w:val="20"/>
              </w:rPr>
            </w:pPr>
          </w:p>
          <w:p w14:paraId="4DA2D905" w14:textId="32F98180" w:rsidR="006040C7" w:rsidRPr="003A184B" w:rsidRDefault="006040C7" w:rsidP="00F519CF">
            <w:pPr>
              <w:autoSpaceDE w:val="0"/>
              <w:autoSpaceDN w:val="0"/>
              <w:adjustRightInd w:val="0"/>
              <w:jc w:val="both"/>
              <w:rPr>
                <w:rFonts w:ascii="CIDFont+F6" w:hAnsi="CIDFont+F6" w:cs="CIDFont+F6"/>
                <w:sz w:val="20"/>
                <w:szCs w:val="20"/>
              </w:rPr>
            </w:pPr>
          </w:p>
        </w:tc>
        <w:tc>
          <w:tcPr>
            <w:tcW w:w="3690" w:type="dxa"/>
            <w:tcBorders>
              <w:bottom w:val="single" w:sz="4" w:space="0" w:color="000000"/>
            </w:tcBorders>
          </w:tcPr>
          <w:p w14:paraId="38D84A3F" w14:textId="77777777" w:rsidR="00A4525A" w:rsidRPr="003A184B" w:rsidRDefault="00A4525A" w:rsidP="005D394E">
            <w:pPr>
              <w:keepLines/>
              <w:widowControl w:val="0"/>
              <w:rPr>
                <w:rFonts w:cstheme="minorHAnsi"/>
                <w:sz w:val="20"/>
                <w:szCs w:val="20"/>
              </w:rPr>
            </w:pPr>
          </w:p>
          <w:p w14:paraId="43CF19FD" w14:textId="77777777" w:rsidR="00A4525A" w:rsidRPr="003A184B" w:rsidRDefault="00A4525A" w:rsidP="005D394E">
            <w:pPr>
              <w:keepLines/>
              <w:widowControl w:val="0"/>
              <w:rPr>
                <w:rFonts w:cstheme="minorHAnsi"/>
                <w:sz w:val="20"/>
                <w:szCs w:val="20"/>
              </w:rPr>
            </w:pPr>
          </w:p>
          <w:p w14:paraId="4DA2D906" w14:textId="375CB498" w:rsidR="00502173" w:rsidRPr="003A184B" w:rsidRDefault="00F519CF" w:rsidP="005D394E">
            <w:pPr>
              <w:keepLines/>
              <w:widowControl w:val="0"/>
              <w:rPr>
                <w:rFonts w:cstheme="minorHAnsi"/>
                <w:sz w:val="20"/>
                <w:szCs w:val="20"/>
              </w:rPr>
            </w:pPr>
            <w:r w:rsidRPr="003A184B">
              <w:rPr>
                <w:rFonts w:cstheme="minorHAnsi"/>
                <w:sz w:val="20"/>
                <w:szCs w:val="20"/>
              </w:rPr>
              <w:t>UGPC/</w:t>
            </w:r>
            <w:proofErr w:type="spellStart"/>
            <w:r w:rsidRPr="003A184B">
              <w:rPr>
                <w:rFonts w:cstheme="minorHAnsi"/>
                <w:sz w:val="20"/>
                <w:szCs w:val="20"/>
              </w:rPr>
              <w:t>UGPRs</w:t>
            </w:r>
            <w:proofErr w:type="spellEnd"/>
          </w:p>
        </w:tc>
      </w:tr>
      <w:tr w:rsidR="00502173" w:rsidRPr="003A184B" w14:paraId="4DA2D90E" w14:textId="77777777" w:rsidTr="00594521">
        <w:trPr>
          <w:cantSplit/>
          <w:trHeight w:val="20"/>
        </w:trPr>
        <w:tc>
          <w:tcPr>
            <w:tcW w:w="715" w:type="dxa"/>
            <w:tcBorders>
              <w:bottom w:val="single" w:sz="4" w:space="0" w:color="000000"/>
            </w:tcBorders>
          </w:tcPr>
          <w:p w14:paraId="4DA2D908" w14:textId="77777777" w:rsidR="00502173" w:rsidRPr="003A184B" w:rsidRDefault="00502173" w:rsidP="005D394E">
            <w:pPr>
              <w:keepLines/>
              <w:widowControl w:val="0"/>
              <w:jc w:val="center"/>
              <w:rPr>
                <w:rFonts w:cstheme="minorHAnsi"/>
                <w:sz w:val="20"/>
                <w:szCs w:val="20"/>
              </w:rPr>
            </w:pPr>
            <w:r w:rsidRPr="003A184B">
              <w:rPr>
                <w:sz w:val="20"/>
                <w:szCs w:val="20"/>
              </w:rPr>
              <w:lastRenderedPageBreak/>
              <w:t>C</w:t>
            </w:r>
          </w:p>
        </w:tc>
        <w:tc>
          <w:tcPr>
            <w:tcW w:w="6120" w:type="dxa"/>
            <w:tcBorders>
              <w:bottom w:val="single" w:sz="4" w:space="0" w:color="000000"/>
            </w:tcBorders>
          </w:tcPr>
          <w:p w14:paraId="4DA2D909" w14:textId="053A8276" w:rsidR="00502173" w:rsidRPr="003A184B" w:rsidRDefault="00C7127F" w:rsidP="0011687C">
            <w:pPr>
              <w:pStyle w:val="ModelNrmlSingle"/>
              <w:keepLines/>
              <w:widowControl w:val="0"/>
              <w:spacing w:after="0"/>
              <w:ind w:firstLine="0"/>
              <w:jc w:val="left"/>
              <w:rPr>
                <w:rFonts w:asciiTheme="minorHAnsi" w:hAnsiTheme="minorHAnsi" w:cstheme="minorHAnsi"/>
                <w:b/>
                <w:bCs/>
                <w:color w:val="4472C4" w:themeColor="accent1"/>
                <w:sz w:val="20"/>
              </w:rPr>
            </w:pPr>
            <w:r w:rsidRPr="003A184B">
              <w:rPr>
                <w:rFonts w:asciiTheme="minorHAnsi" w:hAnsiTheme="minorHAnsi"/>
                <w:b/>
                <w:bCs/>
                <w:color w:val="4472C4" w:themeColor="accent1"/>
                <w:sz w:val="20"/>
              </w:rPr>
              <w:t xml:space="preserve">RAPPORTS MENSUELS DES </w:t>
            </w:r>
            <w:r w:rsidR="00C2114C">
              <w:rPr>
                <w:rFonts w:asciiTheme="minorHAnsi" w:hAnsiTheme="minorHAnsi"/>
                <w:b/>
                <w:bCs/>
                <w:color w:val="4472C4" w:themeColor="accent1"/>
                <w:sz w:val="20"/>
              </w:rPr>
              <w:t>CONTRACTANTS</w:t>
            </w:r>
            <w:r w:rsidRPr="003A184B">
              <w:rPr>
                <w:rFonts w:asciiTheme="minorHAnsi" w:hAnsiTheme="minorHAnsi"/>
                <w:b/>
                <w:bCs/>
                <w:color w:val="4472C4" w:themeColor="accent1"/>
                <w:sz w:val="20"/>
              </w:rPr>
              <w:t xml:space="preserve"> </w:t>
            </w:r>
          </w:p>
          <w:p w14:paraId="529C2F3E" w14:textId="13EBA7C9" w:rsidR="00A846CF" w:rsidRDefault="00A846CF" w:rsidP="00EB142A">
            <w:pPr>
              <w:keepLines/>
              <w:widowControl w:val="0"/>
              <w:jc w:val="both"/>
              <w:rPr>
                <w:rFonts w:ascii="CIDFont+F1" w:hAnsi="CIDFont+F1" w:cs="CIDFont+F1"/>
                <w:sz w:val="20"/>
                <w:szCs w:val="20"/>
              </w:rPr>
            </w:pPr>
            <w:r w:rsidRPr="00A846CF">
              <w:rPr>
                <w:rFonts w:ascii="CIDFont+F1" w:hAnsi="CIDFont+F1" w:cs="CIDFont+F1"/>
                <w:sz w:val="20"/>
                <w:szCs w:val="20"/>
              </w:rPr>
              <w:t>Exiger des sous-traitants et des sociétés de supervision qu'ils fournissent des rapports de suivi mensuels sur les performances</w:t>
            </w:r>
            <w:r w:rsidR="00C2114C">
              <w:rPr>
                <w:rFonts w:ascii="CIDFont+F1" w:hAnsi="CIDFont+F1" w:cs="CIDFont+F1"/>
                <w:sz w:val="20"/>
                <w:szCs w:val="20"/>
              </w:rPr>
              <w:t> </w:t>
            </w:r>
            <w:r w:rsidR="00C2114C" w:rsidRPr="00C2114C">
              <w:rPr>
                <w:rFonts w:ascii="CIDFont+F1" w:hAnsi="CIDFont+F1" w:cs="CIDFont+F1"/>
                <w:sz w:val="20"/>
                <w:szCs w:val="20"/>
              </w:rPr>
              <w:t>Environnement</w:t>
            </w:r>
            <w:r w:rsidR="00C2114C">
              <w:rPr>
                <w:rFonts w:ascii="CIDFont+F1" w:hAnsi="CIDFont+F1" w:cs="CIDFont+F1"/>
                <w:sz w:val="20"/>
                <w:szCs w:val="20"/>
              </w:rPr>
              <w:t>ale</w:t>
            </w:r>
            <w:r w:rsidR="00C2114C" w:rsidRPr="00C2114C">
              <w:rPr>
                <w:rFonts w:ascii="CIDFont+F1" w:hAnsi="CIDFont+F1" w:cs="CIDFont+F1"/>
                <w:sz w:val="20"/>
                <w:szCs w:val="20"/>
              </w:rPr>
              <w:t xml:space="preserve">, </w:t>
            </w:r>
            <w:r w:rsidR="00C2114C">
              <w:rPr>
                <w:rFonts w:ascii="CIDFont+F1" w:hAnsi="CIDFont+F1" w:cs="CIDFont+F1"/>
                <w:sz w:val="20"/>
                <w:szCs w:val="20"/>
              </w:rPr>
              <w:t>S</w:t>
            </w:r>
            <w:r w:rsidR="00C2114C" w:rsidRPr="00C2114C">
              <w:rPr>
                <w:rFonts w:ascii="CIDFont+F1" w:hAnsi="CIDFont+F1" w:cs="CIDFont+F1"/>
                <w:sz w:val="20"/>
                <w:szCs w:val="20"/>
              </w:rPr>
              <w:t>ocial</w:t>
            </w:r>
            <w:r w:rsidR="00C2114C">
              <w:rPr>
                <w:rFonts w:ascii="CIDFont+F1" w:hAnsi="CIDFont+F1" w:cs="CIDFont+F1"/>
                <w:sz w:val="20"/>
                <w:szCs w:val="20"/>
              </w:rPr>
              <w:t>e</w:t>
            </w:r>
            <w:r w:rsidR="00C2114C" w:rsidRPr="00C2114C">
              <w:rPr>
                <w:rFonts w:ascii="CIDFont+F1" w:hAnsi="CIDFont+F1" w:cs="CIDFont+F1"/>
                <w:sz w:val="20"/>
                <w:szCs w:val="20"/>
              </w:rPr>
              <w:t xml:space="preserve">, </w:t>
            </w:r>
            <w:r w:rsidR="00C2114C">
              <w:rPr>
                <w:rFonts w:ascii="CIDFont+F1" w:hAnsi="CIDFont+F1" w:cs="CIDFont+F1"/>
                <w:sz w:val="20"/>
                <w:szCs w:val="20"/>
              </w:rPr>
              <w:t>Sanitaire</w:t>
            </w:r>
            <w:r w:rsidR="00C2114C" w:rsidRPr="00C2114C">
              <w:rPr>
                <w:rFonts w:ascii="CIDFont+F1" w:hAnsi="CIDFont+F1" w:cs="CIDFont+F1"/>
                <w:sz w:val="20"/>
                <w:szCs w:val="20"/>
              </w:rPr>
              <w:t xml:space="preserve"> et </w:t>
            </w:r>
            <w:r w:rsidR="00C2114C">
              <w:rPr>
                <w:rFonts w:ascii="CIDFont+F1" w:hAnsi="CIDFont+F1" w:cs="CIDFont+F1"/>
                <w:sz w:val="20"/>
                <w:szCs w:val="20"/>
              </w:rPr>
              <w:t>S</w:t>
            </w:r>
            <w:r w:rsidR="00C2114C" w:rsidRPr="00C2114C">
              <w:rPr>
                <w:rFonts w:ascii="CIDFont+F1" w:hAnsi="CIDFont+F1" w:cs="CIDFont+F1"/>
                <w:sz w:val="20"/>
                <w:szCs w:val="20"/>
              </w:rPr>
              <w:t>écurit</w:t>
            </w:r>
            <w:r w:rsidR="00C2114C">
              <w:rPr>
                <w:rFonts w:ascii="CIDFont+F1" w:hAnsi="CIDFont+F1" w:cs="CIDFont+F1"/>
                <w:sz w:val="20"/>
                <w:szCs w:val="20"/>
              </w:rPr>
              <w:t xml:space="preserve">aire (ESSS) </w:t>
            </w:r>
            <w:r w:rsidRPr="00A846CF">
              <w:rPr>
                <w:rFonts w:ascii="CIDFont+F1" w:hAnsi="CIDFont+F1" w:cs="CIDFont+F1"/>
                <w:sz w:val="20"/>
                <w:szCs w:val="20"/>
              </w:rPr>
              <w:t>conformément aux paramètres spécifiés dans les documents d'appel d'offres et les contrats respectifs, et soumettre ces rapports à la Banque.</w:t>
            </w:r>
          </w:p>
          <w:p w14:paraId="7B0AB756" w14:textId="77777777" w:rsidR="00A846CF" w:rsidRPr="00165946" w:rsidRDefault="00A846CF" w:rsidP="00EB142A">
            <w:pPr>
              <w:keepLines/>
              <w:widowControl w:val="0"/>
              <w:jc w:val="both"/>
              <w:rPr>
                <w:rFonts w:ascii="CIDFont+F1" w:hAnsi="CIDFont+F1" w:cs="CIDFont+F1"/>
                <w:sz w:val="12"/>
                <w:szCs w:val="12"/>
              </w:rPr>
            </w:pPr>
          </w:p>
          <w:p w14:paraId="010D5B53" w14:textId="77777777" w:rsidR="00C2114C" w:rsidRPr="00C2114C" w:rsidRDefault="00C2114C" w:rsidP="00C2114C">
            <w:pPr>
              <w:keepLines/>
              <w:widowControl w:val="0"/>
              <w:jc w:val="both"/>
              <w:rPr>
                <w:rFonts w:cstheme="minorHAnsi"/>
                <w:sz w:val="20"/>
                <w:szCs w:val="20"/>
              </w:rPr>
            </w:pPr>
            <w:r w:rsidRPr="00C2114C">
              <w:rPr>
                <w:rFonts w:cstheme="minorHAnsi"/>
                <w:sz w:val="20"/>
                <w:szCs w:val="20"/>
              </w:rPr>
              <w:t>RAPPORTS MENSUELS DES FOURNISSEURS ET PRESTATAIRES</w:t>
            </w:r>
          </w:p>
          <w:p w14:paraId="4DA2D90B" w14:textId="49812F64" w:rsidR="00C2114C" w:rsidRPr="003A184B" w:rsidRDefault="00A533F3" w:rsidP="00C2114C">
            <w:pPr>
              <w:keepLines/>
              <w:widowControl w:val="0"/>
              <w:jc w:val="both"/>
              <w:rPr>
                <w:rFonts w:cstheme="minorHAnsi"/>
                <w:sz w:val="20"/>
                <w:szCs w:val="20"/>
              </w:rPr>
            </w:pPr>
            <w:r w:rsidRPr="003A184B">
              <w:rPr>
                <w:rFonts w:ascii="CIDFont+F1" w:hAnsi="CIDFont+F1" w:cs="CIDFont+F1"/>
                <w:sz w:val="20"/>
                <w:szCs w:val="20"/>
              </w:rPr>
              <w:t>Dans le cadre des marchés de travaux</w:t>
            </w:r>
            <w:r w:rsidR="00C2114C">
              <w:rPr>
                <w:rFonts w:ascii="CIDFont+F1" w:hAnsi="CIDFont+F1" w:cs="CIDFont+F1"/>
                <w:sz w:val="20"/>
                <w:szCs w:val="20"/>
              </w:rPr>
              <w:t xml:space="preserve"> </w:t>
            </w:r>
            <w:r w:rsidR="00C2114C" w:rsidRPr="00C2114C">
              <w:rPr>
                <w:rFonts w:cstheme="minorHAnsi"/>
                <w:sz w:val="20"/>
                <w:szCs w:val="20"/>
              </w:rPr>
              <w:t>attribués</w:t>
            </w:r>
            <w:r w:rsidRPr="003A184B">
              <w:rPr>
                <w:rFonts w:ascii="CIDFont+F1" w:hAnsi="CIDFont+F1" w:cs="CIDFont+F1"/>
                <w:sz w:val="20"/>
                <w:szCs w:val="20"/>
              </w:rPr>
              <w:t>, les fournisseurs et</w:t>
            </w:r>
            <w:r w:rsidR="008E0319" w:rsidRPr="003A184B">
              <w:rPr>
                <w:rFonts w:ascii="CIDFont+F1" w:hAnsi="CIDFont+F1" w:cs="CIDFont+F1"/>
                <w:sz w:val="20"/>
                <w:szCs w:val="20"/>
              </w:rPr>
              <w:t xml:space="preserve"> </w:t>
            </w:r>
            <w:r w:rsidRPr="003A184B">
              <w:rPr>
                <w:rFonts w:ascii="CIDFont+F1" w:hAnsi="CIDFont+F1" w:cs="CIDFont+F1"/>
                <w:sz w:val="20"/>
                <w:szCs w:val="20"/>
              </w:rPr>
              <w:t xml:space="preserve">prestataires sont tenus de fournir des rapports de suivi mensuels </w:t>
            </w:r>
            <w:r w:rsidR="00C2114C" w:rsidRPr="00C2114C">
              <w:rPr>
                <w:rFonts w:cstheme="minorHAnsi"/>
                <w:sz w:val="20"/>
                <w:szCs w:val="20"/>
              </w:rPr>
              <w:t xml:space="preserve">à la Banque par le biais des </w:t>
            </w:r>
            <w:r w:rsidR="00F519CF" w:rsidRPr="003A184B">
              <w:rPr>
                <w:rFonts w:cstheme="minorHAnsi"/>
                <w:sz w:val="20"/>
                <w:szCs w:val="20"/>
              </w:rPr>
              <w:t>aux Unités Régionales de Gestion du Projet (UGRP)</w:t>
            </w:r>
            <w:r w:rsidRPr="003A184B">
              <w:rPr>
                <w:rFonts w:ascii="CIDFont+F1" w:hAnsi="CIDFont+F1" w:cs="CIDFont+F1"/>
                <w:sz w:val="20"/>
                <w:szCs w:val="20"/>
              </w:rPr>
              <w:t xml:space="preserve">. </w:t>
            </w:r>
            <w:r w:rsidR="00F519CF" w:rsidRPr="003A184B">
              <w:rPr>
                <w:rFonts w:cstheme="minorHAnsi"/>
                <w:sz w:val="20"/>
                <w:szCs w:val="20"/>
              </w:rPr>
              <w:t>Ces rapports seront soumis d'une manière jugée satisfaisante par la Banque.</w:t>
            </w:r>
          </w:p>
        </w:tc>
        <w:tc>
          <w:tcPr>
            <w:tcW w:w="3780" w:type="dxa"/>
            <w:tcBorders>
              <w:bottom w:val="single" w:sz="4" w:space="0" w:color="000000"/>
            </w:tcBorders>
          </w:tcPr>
          <w:p w14:paraId="37F7A586" w14:textId="77777777" w:rsidR="004B0228" w:rsidRPr="003A184B" w:rsidRDefault="004B0228" w:rsidP="00E52E94">
            <w:pPr>
              <w:autoSpaceDE w:val="0"/>
              <w:autoSpaceDN w:val="0"/>
              <w:adjustRightInd w:val="0"/>
              <w:rPr>
                <w:rFonts w:ascii="CIDFont+F6" w:hAnsi="CIDFont+F6" w:cs="CIDFont+F6"/>
                <w:sz w:val="20"/>
                <w:szCs w:val="20"/>
              </w:rPr>
            </w:pPr>
          </w:p>
          <w:p w14:paraId="1CAC64FB" w14:textId="43BC5238" w:rsidR="00C2114C" w:rsidRPr="003A184B" w:rsidRDefault="00C2114C" w:rsidP="00EB142A">
            <w:pPr>
              <w:autoSpaceDE w:val="0"/>
              <w:autoSpaceDN w:val="0"/>
              <w:adjustRightInd w:val="0"/>
              <w:jc w:val="both"/>
              <w:rPr>
                <w:rFonts w:ascii="CIDFont+F6" w:hAnsi="CIDFont+F6" w:cs="CIDFont+F6"/>
                <w:sz w:val="20"/>
                <w:szCs w:val="20"/>
              </w:rPr>
            </w:pPr>
            <w:r w:rsidRPr="00C2114C">
              <w:rPr>
                <w:rFonts w:ascii="CIDFont+F6" w:hAnsi="CIDFont+F6" w:cs="CIDFont+F6"/>
                <w:sz w:val="20"/>
                <w:szCs w:val="20"/>
              </w:rPr>
              <w:t>Soumettre les rapports mensuels à la Banque sur demande et en annexe aux rapports à soumettre au titre de l'action A ci-dessus</w:t>
            </w:r>
          </w:p>
          <w:p w14:paraId="27705808" w14:textId="77777777" w:rsidR="00C56FFC" w:rsidRPr="003A184B" w:rsidRDefault="00C56FFC" w:rsidP="00EB142A">
            <w:pPr>
              <w:autoSpaceDE w:val="0"/>
              <w:autoSpaceDN w:val="0"/>
              <w:adjustRightInd w:val="0"/>
              <w:jc w:val="both"/>
              <w:rPr>
                <w:rFonts w:ascii="CIDFont+F6" w:hAnsi="CIDFont+F6" w:cs="CIDFont+F6"/>
                <w:sz w:val="20"/>
                <w:szCs w:val="20"/>
              </w:rPr>
            </w:pPr>
          </w:p>
          <w:p w14:paraId="3752F9AF" w14:textId="0DE0A1DE" w:rsidR="00A533F3" w:rsidRPr="003A184B" w:rsidRDefault="000A3C1D" w:rsidP="00EB142A">
            <w:pPr>
              <w:autoSpaceDE w:val="0"/>
              <w:autoSpaceDN w:val="0"/>
              <w:adjustRightInd w:val="0"/>
              <w:jc w:val="both"/>
              <w:rPr>
                <w:rFonts w:ascii="CIDFont+F6" w:hAnsi="CIDFont+F6" w:cs="CIDFont+F6"/>
                <w:sz w:val="20"/>
                <w:szCs w:val="20"/>
              </w:rPr>
            </w:pPr>
            <w:r w:rsidRPr="003A184B">
              <w:rPr>
                <w:rFonts w:ascii="CIDFont+F6" w:hAnsi="CIDFont+F6" w:cs="CIDFont+F6"/>
                <w:sz w:val="20"/>
                <w:szCs w:val="20"/>
              </w:rPr>
              <w:t>Tout au long de la mise en œuvre du Projet.</w:t>
            </w:r>
          </w:p>
          <w:p w14:paraId="4DA2D90C" w14:textId="5BF1BC91" w:rsidR="00502173" w:rsidRPr="003A184B" w:rsidRDefault="00502173" w:rsidP="00A533F3">
            <w:pPr>
              <w:keepLines/>
              <w:widowControl w:val="0"/>
              <w:rPr>
                <w:rFonts w:cstheme="minorHAnsi"/>
                <w:sz w:val="20"/>
                <w:szCs w:val="20"/>
              </w:rPr>
            </w:pPr>
          </w:p>
        </w:tc>
        <w:tc>
          <w:tcPr>
            <w:tcW w:w="3690" w:type="dxa"/>
            <w:tcBorders>
              <w:bottom w:val="single" w:sz="4" w:space="0" w:color="000000"/>
            </w:tcBorders>
          </w:tcPr>
          <w:p w14:paraId="382E9FB3" w14:textId="77777777" w:rsidR="004B0228" w:rsidRPr="003A184B" w:rsidRDefault="004B0228" w:rsidP="00C56FFC">
            <w:pPr>
              <w:autoSpaceDE w:val="0"/>
              <w:autoSpaceDN w:val="0"/>
              <w:adjustRightInd w:val="0"/>
              <w:rPr>
                <w:rFonts w:ascii="CIDFont+F1" w:hAnsi="CIDFont+F1" w:cs="CIDFont+F1"/>
                <w:sz w:val="20"/>
                <w:szCs w:val="20"/>
              </w:rPr>
            </w:pPr>
          </w:p>
          <w:p w14:paraId="1985511C" w14:textId="3295CEE3" w:rsidR="00C56FFC" w:rsidRPr="003A184B" w:rsidRDefault="00C56FFC" w:rsidP="00C56FFC">
            <w:pPr>
              <w:autoSpaceDE w:val="0"/>
              <w:autoSpaceDN w:val="0"/>
              <w:adjustRightInd w:val="0"/>
              <w:rPr>
                <w:rFonts w:ascii="CIDFont+F1" w:hAnsi="CIDFont+F1" w:cs="CIDFont+F1"/>
                <w:sz w:val="20"/>
                <w:szCs w:val="20"/>
                <w:lang w:val="en-US"/>
              </w:rPr>
            </w:pPr>
            <w:proofErr w:type="spellStart"/>
            <w:r w:rsidRPr="003A184B">
              <w:rPr>
                <w:rFonts w:ascii="CIDFont+F1" w:hAnsi="CIDFont+F1" w:cs="CIDFont+F1"/>
                <w:sz w:val="20"/>
                <w:szCs w:val="20"/>
                <w:lang w:val="en-US"/>
              </w:rPr>
              <w:t>Fournisseurs</w:t>
            </w:r>
            <w:proofErr w:type="spellEnd"/>
            <w:r w:rsidRPr="003A184B">
              <w:rPr>
                <w:rFonts w:ascii="CIDFont+F1" w:hAnsi="CIDFont+F1" w:cs="CIDFont+F1"/>
                <w:sz w:val="20"/>
                <w:szCs w:val="20"/>
                <w:lang w:val="en-US"/>
              </w:rPr>
              <w:t xml:space="preserve">/ </w:t>
            </w:r>
            <w:proofErr w:type="spellStart"/>
            <w:r w:rsidRPr="003A184B">
              <w:rPr>
                <w:rFonts w:ascii="CIDFont+F1" w:hAnsi="CIDFont+F1" w:cs="CIDFont+F1"/>
                <w:sz w:val="20"/>
                <w:szCs w:val="20"/>
                <w:lang w:val="en-US"/>
              </w:rPr>
              <w:t>Prestataire</w:t>
            </w:r>
            <w:r w:rsidR="00F4774F" w:rsidRPr="003A184B">
              <w:rPr>
                <w:rFonts w:ascii="CIDFont+F1" w:hAnsi="CIDFont+F1" w:cs="CIDFont+F1"/>
                <w:sz w:val="20"/>
                <w:szCs w:val="20"/>
                <w:lang w:val="en-US"/>
              </w:rPr>
              <w:t>s</w:t>
            </w:r>
            <w:proofErr w:type="spellEnd"/>
          </w:p>
          <w:p w14:paraId="4DA2D90D" w14:textId="051747DB" w:rsidR="00502173" w:rsidRPr="003A184B" w:rsidRDefault="000A3C1D" w:rsidP="00C56FFC">
            <w:pPr>
              <w:keepLines/>
              <w:widowControl w:val="0"/>
              <w:rPr>
                <w:rFonts w:cstheme="minorHAnsi"/>
                <w:sz w:val="20"/>
                <w:szCs w:val="20"/>
              </w:rPr>
            </w:pPr>
            <w:r w:rsidRPr="003A184B">
              <w:rPr>
                <w:rFonts w:ascii="CIDFont+F1" w:hAnsi="CIDFont+F1" w:cs="CIDFont+F1"/>
                <w:sz w:val="20"/>
                <w:szCs w:val="20"/>
                <w:lang w:val="en-US"/>
              </w:rPr>
              <w:t>UGPRs.</w:t>
            </w:r>
          </w:p>
        </w:tc>
      </w:tr>
      <w:tr w:rsidR="00502173" w:rsidRPr="003A184B" w14:paraId="4DA2D912" w14:textId="77777777" w:rsidTr="00594521">
        <w:trPr>
          <w:cantSplit/>
          <w:trHeight w:val="20"/>
        </w:trPr>
        <w:tc>
          <w:tcPr>
            <w:tcW w:w="14305" w:type="dxa"/>
            <w:gridSpan w:val="4"/>
            <w:tcBorders>
              <w:top w:val="single" w:sz="4" w:space="0" w:color="000000"/>
            </w:tcBorders>
            <w:shd w:val="clear" w:color="auto" w:fill="F4B083" w:themeFill="accent2" w:themeFillTint="99"/>
          </w:tcPr>
          <w:p w14:paraId="4DA2D911" w14:textId="3438CCC8" w:rsidR="00502173" w:rsidRPr="003A184B" w:rsidRDefault="00502173" w:rsidP="005D394E">
            <w:pPr>
              <w:keepLines/>
              <w:widowControl w:val="0"/>
              <w:rPr>
                <w:rFonts w:cstheme="minorHAnsi"/>
                <w:sz w:val="20"/>
                <w:szCs w:val="20"/>
              </w:rPr>
            </w:pPr>
            <w:r w:rsidRPr="003A184B">
              <w:rPr>
                <w:b/>
                <w:sz w:val="20"/>
                <w:szCs w:val="20"/>
              </w:rPr>
              <w:t>NES n</w:t>
            </w:r>
            <w:r w:rsidRPr="003A184B">
              <w:rPr>
                <w:b/>
                <w:sz w:val="20"/>
                <w:szCs w:val="20"/>
                <w:vertAlign w:val="superscript"/>
              </w:rPr>
              <w:t>o</w:t>
            </w:r>
            <w:r w:rsidRPr="003A184B">
              <w:rPr>
                <w:b/>
                <w:sz w:val="20"/>
                <w:szCs w:val="20"/>
              </w:rPr>
              <w:t xml:space="preserve"> 1 : ÉVALUATION ET GESTION DES RISQUES </w:t>
            </w:r>
            <w:r w:rsidRPr="00807005">
              <w:rPr>
                <w:b/>
                <w:sz w:val="20"/>
                <w:szCs w:val="20"/>
              </w:rPr>
              <w:t xml:space="preserve">ET </w:t>
            </w:r>
            <w:r w:rsidR="000A3C1D" w:rsidRPr="00807005">
              <w:rPr>
                <w:b/>
                <w:sz w:val="20"/>
                <w:szCs w:val="20"/>
              </w:rPr>
              <w:t>IMPACTS</w:t>
            </w:r>
            <w:r w:rsidRPr="00807005">
              <w:rPr>
                <w:b/>
                <w:sz w:val="20"/>
                <w:szCs w:val="20"/>
              </w:rPr>
              <w:t xml:space="preserve"> </w:t>
            </w:r>
            <w:r w:rsidRPr="003A184B">
              <w:rPr>
                <w:b/>
                <w:sz w:val="20"/>
                <w:szCs w:val="20"/>
              </w:rPr>
              <w:t>ENVIRONNEMENTAUX ET SOCIAUX</w:t>
            </w:r>
          </w:p>
        </w:tc>
      </w:tr>
      <w:tr w:rsidR="00502173" w:rsidRPr="003A184B" w14:paraId="4DA2D920" w14:textId="77777777" w:rsidTr="00594521">
        <w:trPr>
          <w:cantSplit/>
          <w:trHeight w:val="20"/>
        </w:trPr>
        <w:tc>
          <w:tcPr>
            <w:tcW w:w="715" w:type="dxa"/>
            <w:tcBorders>
              <w:top w:val="single" w:sz="4" w:space="0" w:color="000000"/>
            </w:tcBorders>
          </w:tcPr>
          <w:p w14:paraId="4DA2D913" w14:textId="77777777" w:rsidR="00502173" w:rsidRPr="003A184B" w:rsidRDefault="00502173" w:rsidP="005D394E">
            <w:pPr>
              <w:keepLines/>
              <w:widowControl w:val="0"/>
              <w:jc w:val="center"/>
              <w:rPr>
                <w:rFonts w:cstheme="minorHAnsi"/>
                <w:sz w:val="20"/>
                <w:szCs w:val="20"/>
              </w:rPr>
            </w:pPr>
            <w:r w:rsidRPr="003A184B">
              <w:rPr>
                <w:sz w:val="20"/>
                <w:szCs w:val="20"/>
              </w:rPr>
              <w:t>1.1</w:t>
            </w:r>
          </w:p>
        </w:tc>
        <w:tc>
          <w:tcPr>
            <w:tcW w:w="6120" w:type="dxa"/>
            <w:tcBorders>
              <w:top w:val="single" w:sz="4" w:space="0" w:color="000000"/>
            </w:tcBorders>
          </w:tcPr>
          <w:p w14:paraId="4DA2D914" w14:textId="77777777" w:rsidR="00502173" w:rsidRPr="003A184B" w:rsidRDefault="00502173" w:rsidP="005D394E">
            <w:pPr>
              <w:keepLines/>
              <w:widowControl w:val="0"/>
              <w:rPr>
                <w:rFonts w:cstheme="minorHAnsi"/>
                <w:sz w:val="20"/>
                <w:szCs w:val="20"/>
              </w:rPr>
            </w:pPr>
            <w:r w:rsidRPr="003A184B">
              <w:rPr>
                <w:b/>
                <w:color w:val="5B9BD5" w:themeColor="accent5"/>
                <w:sz w:val="20"/>
                <w:szCs w:val="20"/>
              </w:rPr>
              <w:t>STRUCTURE ORGANISATIONNELLE</w:t>
            </w:r>
          </w:p>
          <w:p w14:paraId="6B4AF902" w14:textId="6550EAC4" w:rsidR="000A3C1D" w:rsidRPr="003A184B" w:rsidRDefault="000A3C1D" w:rsidP="000A3C1D">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Les MAPMDREF/UGPC/</w:t>
            </w:r>
            <w:proofErr w:type="spellStart"/>
            <w:r w:rsidRPr="003A184B">
              <w:rPr>
                <w:rFonts w:ascii="CIDFont+F1" w:hAnsi="CIDFont+F1" w:cs="CIDFont+F1"/>
                <w:sz w:val="20"/>
                <w:szCs w:val="20"/>
              </w:rPr>
              <w:t>UGPRs</w:t>
            </w:r>
            <w:proofErr w:type="spellEnd"/>
            <w:r w:rsidRPr="003A184B">
              <w:rPr>
                <w:rFonts w:ascii="CIDFont+F1" w:hAnsi="CIDFont+F1" w:cs="CIDFont+F1"/>
                <w:sz w:val="20"/>
                <w:szCs w:val="20"/>
              </w:rPr>
              <w:t xml:space="preserve"> créeront et maintiendront une structure organisationnelle responsable de la mise en œuvre, du suivi et de l'évaluation au jour le jour des </w:t>
            </w:r>
            <w:proofErr w:type="spellStart"/>
            <w:r w:rsidRPr="003A184B">
              <w:rPr>
                <w:rFonts w:ascii="CIDFont+F1" w:hAnsi="CIDFont+F1" w:cs="CIDFont+F1"/>
                <w:sz w:val="20"/>
                <w:szCs w:val="20"/>
              </w:rPr>
              <w:t>CBPs</w:t>
            </w:r>
            <w:proofErr w:type="spellEnd"/>
            <w:r w:rsidRPr="003A184B">
              <w:rPr>
                <w:rFonts w:ascii="CIDFont+F1" w:hAnsi="CIDFont+F1" w:cs="CIDFont+F1"/>
                <w:sz w:val="20"/>
                <w:szCs w:val="20"/>
              </w:rPr>
              <w:t xml:space="preserve"> dans le cadre de la Composante 1, en collaboration </w:t>
            </w:r>
            <w:r w:rsidRPr="00165946">
              <w:rPr>
                <w:rFonts w:ascii="CIDFont+F1" w:hAnsi="CIDFont+F1" w:cs="CIDFont+F1"/>
                <w:sz w:val="20"/>
                <w:szCs w:val="20"/>
              </w:rPr>
              <w:t>avec l'ONCA,</w:t>
            </w:r>
            <w:r w:rsidRPr="003A184B">
              <w:rPr>
                <w:rFonts w:ascii="CIDFont+F1" w:hAnsi="CIDFont+F1" w:cs="CIDFont+F1"/>
                <w:color w:val="FF0000"/>
                <w:sz w:val="20"/>
                <w:szCs w:val="20"/>
              </w:rPr>
              <w:t xml:space="preserve"> </w:t>
            </w:r>
            <w:r w:rsidRPr="003A184B">
              <w:rPr>
                <w:rFonts w:ascii="CIDFont+F1" w:hAnsi="CIDFont+F1" w:cs="CIDFont+F1"/>
                <w:sz w:val="20"/>
                <w:szCs w:val="20"/>
              </w:rPr>
              <w:t xml:space="preserve">les ORMVA de Tadla (ORMVAT) et de Souss-Massa (ORMVASM) et les ABH de l’Oum-Er-Rbia et Souss-Massa, et les activités de gestion du projet dans le cadre de la composante 4, et la coordination de la mise en œuvre au jour le jour des composantes 2 et 3 du projet, y compris les aspects environnementaux et sociaux . Ils disposeront de trois spécialistes/points focaux (un spécialiste VBG, un spécialiste de la sauvegarde environnementale et un spécialiste de la sauvegarde sociale). Ils assureront avec l'appui de toutes les agences d'exécution à travers leurs </w:t>
            </w:r>
            <w:proofErr w:type="spellStart"/>
            <w:r w:rsidRPr="003A184B">
              <w:rPr>
                <w:rFonts w:ascii="CIDFont+F1" w:hAnsi="CIDFont+F1" w:cs="CIDFont+F1"/>
                <w:sz w:val="20"/>
                <w:szCs w:val="20"/>
              </w:rPr>
              <w:t>UGPRs</w:t>
            </w:r>
            <w:proofErr w:type="spellEnd"/>
            <w:r w:rsidRPr="003A184B">
              <w:rPr>
                <w:rFonts w:ascii="CIDFont+F1" w:hAnsi="CIDFont+F1" w:cs="CIDFont+F1"/>
                <w:sz w:val="20"/>
                <w:szCs w:val="20"/>
              </w:rPr>
              <w:t>, la mise en œuvre des dispositions prévues dans le présent document et tous les documents de sauvegarde élaborés dans le cadre du projet.</w:t>
            </w:r>
          </w:p>
          <w:p w14:paraId="6C4B4A07" w14:textId="77777777" w:rsidR="000A3C1D" w:rsidRPr="003A184B" w:rsidRDefault="000A3C1D" w:rsidP="000A3C1D">
            <w:pPr>
              <w:autoSpaceDE w:val="0"/>
              <w:autoSpaceDN w:val="0"/>
              <w:adjustRightInd w:val="0"/>
              <w:jc w:val="both"/>
              <w:rPr>
                <w:rFonts w:ascii="CIDFont+F1" w:hAnsi="CIDFont+F1" w:cs="CIDFont+F1"/>
                <w:sz w:val="20"/>
                <w:szCs w:val="20"/>
              </w:rPr>
            </w:pPr>
          </w:p>
          <w:p w14:paraId="34313ECE" w14:textId="14DF26C1" w:rsidR="000A3C1D" w:rsidRPr="003A184B" w:rsidRDefault="000A3C1D" w:rsidP="00850F4E">
            <w:pPr>
              <w:autoSpaceDE w:val="0"/>
              <w:autoSpaceDN w:val="0"/>
              <w:adjustRightInd w:val="0"/>
              <w:jc w:val="both"/>
              <w:rPr>
                <w:rFonts w:ascii="CIDFont+F1" w:hAnsi="CIDFont+F1" w:cs="CIDFont+F1"/>
                <w:sz w:val="20"/>
                <w:szCs w:val="20"/>
              </w:rPr>
            </w:pPr>
            <w:r w:rsidRPr="003A184B">
              <w:rPr>
                <w:rFonts w:cstheme="minorHAnsi"/>
                <w:sz w:val="20"/>
                <w:szCs w:val="20"/>
              </w:rPr>
              <w:t>Les UGPC/</w:t>
            </w:r>
            <w:proofErr w:type="spellStart"/>
            <w:r w:rsidRPr="003A184B">
              <w:rPr>
                <w:rFonts w:cstheme="minorHAnsi"/>
                <w:sz w:val="20"/>
                <w:szCs w:val="20"/>
              </w:rPr>
              <w:t>UGPRs</w:t>
            </w:r>
            <w:proofErr w:type="spellEnd"/>
            <w:r w:rsidRPr="003A184B">
              <w:rPr>
                <w:rFonts w:cstheme="minorHAnsi"/>
                <w:sz w:val="20"/>
                <w:szCs w:val="20"/>
              </w:rPr>
              <w:t xml:space="preserve"> peuvent être renforcées par d'autres spécialistes/consultants, en fonction des activités prévues, pour appuyer la gestion des risques environnementaux et sociaux. </w:t>
            </w:r>
            <w:r w:rsidR="00850F4E" w:rsidRPr="003A184B">
              <w:rPr>
                <w:rFonts w:ascii="CIDFont+F1" w:hAnsi="CIDFont+F1" w:cs="CIDFont+F1"/>
                <w:sz w:val="20"/>
                <w:szCs w:val="20"/>
              </w:rPr>
              <w:t>Les qualifications et l’expérience de ces postes seront jugées satisfaisantes par la Banque</w:t>
            </w:r>
            <w:r w:rsidR="00850F4E" w:rsidRPr="003A184B">
              <w:rPr>
                <w:rFonts w:cstheme="minorHAnsi"/>
                <w:sz w:val="20"/>
                <w:szCs w:val="20"/>
              </w:rPr>
              <w:t>.</w:t>
            </w:r>
          </w:p>
          <w:p w14:paraId="60F044F1" w14:textId="77777777" w:rsidR="000772AA" w:rsidRPr="003A184B" w:rsidRDefault="000772AA" w:rsidP="00E52E94">
            <w:pPr>
              <w:autoSpaceDE w:val="0"/>
              <w:autoSpaceDN w:val="0"/>
              <w:adjustRightInd w:val="0"/>
              <w:jc w:val="both"/>
              <w:rPr>
                <w:rFonts w:ascii="CIDFont+F1" w:hAnsi="CIDFont+F1" w:cs="CIDFont+F1"/>
                <w:sz w:val="20"/>
                <w:szCs w:val="20"/>
              </w:rPr>
            </w:pPr>
          </w:p>
          <w:p w14:paraId="0934265B" w14:textId="68587CD2" w:rsidR="00891BA5" w:rsidRPr="003A184B" w:rsidRDefault="00850F4E" w:rsidP="00850F4E">
            <w:pPr>
              <w:keepLines/>
              <w:widowControl w:val="0"/>
              <w:rPr>
                <w:rFonts w:cstheme="minorHAnsi"/>
                <w:sz w:val="20"/>
                <w:szCs w:val="20"/>
              </w:rPr>
            </w:pPr>
            <w:r w:rsidRPr="003A184B">
              <w:rPr>
                <w:rFonts w:cstheme="minorHAnsi"/>
                <w:sz w:val="20"/>
                <w:szCs w:val="20"/>
              </w:rPr>
              <w:t>En outre, les UGPC/</w:t>
            </w:r>
            <w:proofErr w:type="spellStart"/>
            <w:r w:rsidRPr="003A184B">
              <w:rPr>
                <w:rFonts w:cstheme="minorHAnsi"/>
                <w:sz w:val="20"/>
                <w:szCs w:val="20"/>
              </w:rPr>
              <w:t>UGPRs</w:t>
            </w:r>
            <w:proofErr w:type="spellEnd"/>
            <w:r w:rsidRPr="003A184B">
              <w:rPr>
                <w:rFonts w:cstheme="minorHAnsi"/>
                <w:sz w:val="20"/>
                <w:szCs w:val="20"/>
              </w:rPr>
              <w:t>/ONCA prépareront et mettront en œuvre un programme de renforcement des capacités du personnel sur la base d'une évaluation des besoins en formation.</w:t>
            </w:r>
          </w:p>
          <w:p w14:paraId="29433794" w14:textId="77777777" w:rsidR="000772AA" w:rsidRPr="003A184B" w:rsidRDefault="000772AA" w:rsidP="00E52E94">
            <w:pPr>
              <w:keepLines/>
              <w:widowControl w:val="0"/>
              <w:jc w:val="both"/>
              <w:rPr>
                <w:bCs/>
                <w:sz w:val="20"/>
                <w:szCs w:val="20"/>
              </w:rPr>
            </w:pPr>
          </w:p>
          <w:p w14:paraId="4DA2D91A" w14:textId="22F5AC0E" w:rsidR="00976E18" w:rsidRPr="00165946" w:rsidRDefault="00976E18" w:rsidP="00165946">
            <w:pPr>
              <w:keepLines/>
              <w:widowControl w:val="0"/>
              <w:jc w:val="both"/>
              <w:rPr>
                <w:bCs/>
                <w:sz w:val="20"/>
                <w:szCs w:val="20"/>
              </w:rPr>
            </w:pPr>
            <w:r w:rsidRPr="003A184B">
              <w:rPr>
                <w:bCs/>
                <w:sz w:val="20"/>
                <w:szCs w:val="20"/>
              </w:rPr>
              <w:t xml:space="preserve">Le mandat des personnes désignées s’étalera sur </w:t>
            </w:r>
            <w:r w:rsidR="00616A6D" w:rsidRPr="003A184B">
              <w:rPr>
                <w:bCs/>
                <w:sz w:val="20"/>
                <w:szCs w:val="20"/>
              </w:rPr>
              <w:t xml:space="preserve">toute </w:t>
            </w:r>
            <w:r w:rsidRPr="003A184B">
              <w:rPr>
                <w:bCs/>
                <w:sz w:val="20"/>
                <w:szCs w:val="20"/>
              </w:rPr>
              <w:t>la durée de la mise en œuvre du Projet</w:t>
            </w:r>
          </w:p>
        </w:tc>
        <w:tc>
          <w:tcPr>
            <w:tcW w:w="3780" w:type="dxa"/>
            <w:tcBorders>
              <w:top w:val="single" w:sz="4" w:space="0" w:color="000000"/>
            </w:tcBorders>
          </w:tcPr>
          <w:p w14:paraId="042BF430" w14:textId="77777777" w:rsidR="004B0228" w:rsidRPr="003A184B" w:rsidRDefault="004B0228" w:rsidP="00E3328F">
            <w:pPr>
              <w:keepLines/>
              <w:widowControl w:val="0"/>
              <w:rPr>
                <w:bCs/>
                <w:sz w:val="20"/>
                <w:szCs w:val="20"/>
              </w:rPr>
            </w:pPr>
          </w:p>
          <w:p w14:paraId="7E61AF79" w14:textId="77777777" w:rsidR="00B4747F" w:rsidRPr="003A184B" w:rsidRDefault="00B4747F" w:rsidP="00E3328F">
            <w:pPr>
              <w:keepLines/>
              <w:widowControl w:val="0"/>
              <w:rPr>
                <w:bCs/>
                <w:sz w:val="20"/>
                <w:szCs w:val="20"/>
              </w:rPr>
            </w:pPr>
          </w:p>
          <w:p w14:paraId="7F8189FC" w14:textId="77777777" w:rsidR="00B4747F" w:rsidRPr="003A184B" w:rsidRDefault="00B4747F" w:rsidP="00E3328F">
            <w:pPr>
              <w:keepLines/>
              <w:widowControl w:val="0"/>
              <w:rPr>
                <w:bCs/>
                <w:sz w:val="20"/>
                <w:szCs w:val="20"/>
              </w:rPr>
            </w:pPr>
          </w:p>
          <w:p w14:paraId="79B9B2D7" w14:textId="77777777" w:rsidR="00B4747F" w:rsidRPr="003A184B" w:rsidRDefault="00B4747F" w:rsidP="00E3328F">
            <w:pPr>
              <w:keepLines/>
              <w:widowControl w:val="0"/>
              <w:rPr>
                <w:bCs/>
                <w:sz w:val="20"/>
                <w:szCs w:val="20"/>
              </w:rPr>
            </w:pPr>
          </w:p>
          <w:p w14:paraId="265B0D12" w14:textId="77777777" w:rsidR="00B4747F" w:rsidRPr="003A184B" w:rsidRDefault="00B4747F" w:rsidP="00E3328F">
            <w:pPr>
              <w:keepLines/>
              <w:widowControl w:val="0"/>
              <w:rPr>
                <w:bCs/>
                <w:sz w:val="20"/>
                <w:szCs w:val="20"/>
              </w:rPr>
            </w:pPr>
          </w:p>
          <w:p w14:paraId="4DA2D91B" w14:textId="31536F49" w:rsidR="00976E18" w:rsidRPr="003A184B" w:rsidRDefault="00850F4E" w:rsidP="00E3328F">
            <w:pPr>
              <w:keepLines/>
              <w:widowControl w:val="0"/>
              <w:rPr>
                <w:bCs/>
                <w:sz w:val="20"/>
                <w:szCs w:val="20"/>
              </w:rPr>
            </w:pPr>
            <w:r w:rsidRPr="003A184B">
              <w:rPr>
                <w:bCs/>
                <w:sz w:val="20"/>
                <w:szCs w:val="20"/>
              </w:rPr>
              <w:t>Au plus tard 30 jours après la date d'entrée en vigueur et à maintenir tout au long de la mise en œuvre du projet.</w:t>
            </w:r>
            <w:r w:rsidR="00976E18" w:rsidRPr="003A184B" w:rsidDel="00976E18">
              <w:rPr>
                <w:bCs/>
                <w:sz w:val="20"/>
                <w:szCs w:val="20"/>
              </w:rPr>
              <w:t xml:space="preserve"> </w:t>
            </w:r>
          </w:p>
          <w:p w14:paraId="4DA2D91C" w14:textId="77777777" w:rsidR="00976E18" w:rsidRPr="003A184B" w:rsidRDefault="00976E18" w:rsidP="00E3328F">
            <w:pPr>
              <w:keepLines/>
              <w:widowControl w:val="0"/>
              <w:rPr>
                <w:bCs/>
                <w:sz w:val="20"/>
                <w:szCs w:val="20"/>
              </w:rPr>
            </w:pPr>
          </w:p>
          <w:p w14:paraId="4DA2D91D" w14:textId="77777777" w:rsidR="00E3328F" w:rsidRPr="003A184B" w:rsidRDefault="00E3328F" w:rsidP="005D394E">
            <w:pPr>
              <w:keepLines/>
              <w:widowControl w:val="0"/>
              <w:rPr>
                <w:bCs/>
                <w:sz w:val="20"/>
                <w:szCs w:val="20"/>
              </w:rPr>
            </w:pPr>
            <w:r w:rsidRPr="003A184B">
              <w:rPr>
                <w:bCs/>
                <w:sz w:val="20"/>
                <w:szCs w:val="20"/>
              </w:rPr>
              <w:t xml:space="preserve"> </w:t>
            </w:r>
          </w:p>
          <w:p w14:paraId="0EA77134" w14:textId="77777777" w:rsidR="001D185A" w:rsidRPr="003A184B" w:rsidRDefault="001D185A" w:rsidP="005D394E">
            <w:pPr>
              <w:keepLines/>
              <w:widowControl w:val="0"/>
              <w:rPr>
                <w:rFonts w:cstheme="minorHAnsi"/>
                <w:sz w:val="20"/>
                <w:szCs w:val="20"/>
              </w:rPr>
            </w:pPr>
          </w:p>
          <w:p w14:paraId="6D72AC4E" w14:textId="77777777" w:rsidR="000A3C1D" w:rsidRPr="003A184B" w:rsidRDefault="000A3C1D" w:rsidP="005D394E">
            <w:pPr>
              <w:keepLines/>
              <w:widowControl w:val="0"/>
              <w:rPr>
                <w:rFonts w:cstheme="minorHAnsi"/>
                <w:sz w:val="20"/>
                <w:szCs w:val="20"/>
              </w:rPr>
            </w:pPr>
          </w:p>
          <w:p w14:paraId="090D9E28" w14:textId="77777777" w:rsidR="000A3C1D" w:rsidRPr="003A184B" w:rsidRDefault="000A3C1D" w:rsidP="005D394E">
            <w:pPr>
              <w:keepLines/>
              <w:widowControl w:val="0"/>
              <w:rPr>
                <w:rFonts w:cstheme="minorHAnsi"/>
                <w:sz w:val="20"/>
                <w:szCs w:val="20"/>
              </w:rPr>
            </w:pPr>
          </w:p>
          <w:p w14:paraId="43A06AA1" w14:textId="77777777" w:rsidR="000A3C1D" w:rsidRPr="003A184B" w:rsidRDefault="000A3C1D" w:rsidP="005D394E">
            <w:pPr>
              <w:keepLines/>
              <w:widowControl w:val="0"/>
              <w:rPr>
                <w:rFonts w:cstheme="minorHAnsi"/>
                <w:sz w:val="20"/>
                <w:szCs w:val="20"/>
              </w:rPr>
            </w:pPr>
          </w:p>
          <w:p w14:paraId="1312C618" w14:textId="77777777" w:rsidR="000A3C1D" w:rsidRPr="003A184B" w:rsidRDefault="000A3C1D" w:rsidP="005D394E">
            <w:pPr>
              <w:keepLines/>
              <w:widowControl w:val="0"/>
              <w:rPr>
                <w:rFonts w:cstheme="minorHAnsi"/>
                <w:sz w:val="20"/>
                <w:szCs w:val="20"/>
              </w:rPr>
            </w:pPr>
          </w:p>
          <w:p w14:paraId="56CFF486" w14:textId="77777777" w:rsidR="000A3C1D" w:rsidRPr="003A184B" w:rsidRDefault="000A3C1D" w:rsidP="000A3C1D">
            <w:pPr>
              <w:keepLines/>
              <w:widowControl w:val="0"/>
              <w:rPr>
                <w:rFonts w:cstheme="minorHAnsi"/>
                <w:sz w:val="20"/>
                <w:szCs w:val="20"/>
              </w:rPr>
            </w:pPr>
          </w:p>
          <w:p w14:paraId="4DA2D91E" w14:textId="679CE05A" w:rsidR="00850F4E" w:rsidRPr="003A184B" w:rsidRDefault="00850F4E" w:rsidP="00850F4E">
            <w:pPr>
              <w:keepLines/>
              <w:widowControl w:val="0"/>
              <w:rPr>
                <w:rFonts w:cstheme="minorHAnsi"/>
                <w:sz w:val="20"/>
                <w:szCs w:val="20"/>
              </w:rPr>
            </w:pPr>
          </w:p>
        </w:tc>
        <w:tc>
          <w:tcPr>
            <w:tcW w:w="3690" w:type="dxa"/>
            <w:tcBorders>
              <w:top w:val="single" w:sz="4" w:space="0" w:color="000000"/>
            </w:tcBorders>
          </w:tcPr>
          <w:p w14:paraId="3EB639CB" w14:textId="77777777" w:rsidR="004B0228" w:rsidRPr="003A184B" w:rsidRDefault="004B0228" w:rsidP="005D394E">
            <w:pPr>
              <w:keepLines/>
              <w:widowControl w:val="0"/>
              <w:rPr>
                <w:rFonts w:cstheme="minorHAnsi"/>
                <w:sz w:val="20"/>
                <w:szCs w:val="20"/>
              </w:rPr>
            </w:pPr>
          </w:p>
          <w:p w14:paraId="4DA2D91F" w14:textId="45E1BE2C" w:rsidR="00502173" w:rsidRPr="003A184B" w:rsidRDefault="00616A6D" w:rsidP="005D394E">
            <w:pPr>
              <w:keepLines/>
              <w:widowControl w:val="0"/>
              <w:rPr>
                <w:rFonts w:cstheme="minorHAnsi"/>
                <w:sz w:val="20"/>
                <w:szCs w:val="20"/>
              </w:rPr>
            </w:pPr>
            <w:r w:rsidRPr="003A184B">
              <w:rPr>
                <w:rFonts w:cstheme="minorHAnsi"/>
                <w:sz w:val="20"/>
                <w:szCs w:val="20"/>
              </w:rPr>
              <w:t>MAPMDREF</w:t>
            </w:r>
            <w:r w:rsidR="00E17FAB" w:rsidRPr="003A184B">
              <w:rPr>
                <w:rFonts w:cstheme="minorHAnsi"/>
                <w:sz w:val="20"/>
                <w:szCs w:val="20"/>
              </w:rPr>
              <w:t>/UGP</w:t>
            </w:r>
            <w:r w:rsidR="00850F4E" w:rsidRPr="003A184B">
              <w:rPr>
                <w:rFonts w:cstheme="minorHAnsi"/>
                <w:sz w:val="20"/>
                <w:szCs w:val="20"/>
              </w:rPr>
              <w:t>C/</w:t>
            </w:r>
            <w:proofErr w:type="spellStart"/>
            <w:r w:rsidR="00850F4E" w:rsidRPr="003A184B">
              <w:rPr>
                <w:rFonts w:cstheme="minorHAnsi"/>
                <w:sz w:val="20"/>
                <w:szCs w:val="20"/>
              </w:rPr>
              <w:t>UGPRs</w:t>
            </w:r>
            <w:proofErr w:type="spellEnd"/>
            <w:r w:rsidR="00850F4E" w:rsidRPr="003A184B">
              <w:rPr>
                <w:rFonts w:cstheme="minorHAnsi"/>
                <w:sz w:val="20"/>
                <w:szCs w:val="20"/>
              </w:rPr>
              <w:t>/ONCA</w:t>
            </w:r>
            <w:r w:rsidR="00421196" w:rsidRPr="003A184B">
              <w:rPr>
                <w:rFonts w:cstheme="minorHAnsi"/>
                <w:sz w:val="20"/>
                <w:szCs w:val="20"/>
              </w:rPr>
              <w:t>.</w:t>
            </w:r>
          </w:p>
        </w:tc>
      </w:tr>
      <w:tr w:rsidR="00502173" w:rsidRPr="003A184B" w14:paraId="4DA2D93E" w14:textId="77777777" w:rsidTr="00594521">
        <w:trPr>
          <w:cantSplit/>
          <w:trHeight w:val="20"/>
        </w:trPr>
        <w:tc>
          <w:tcPr>
            <w:tcW w:w="715" w:type="dxa"/>
          </w:tcPr>
          <w:p w14:paraId="4DA2D921" w14:textId="77777777" w:rsidR="00502173" w:rsidRPr="003A184B" w:rsidRDefault="00502173" w:rsidP="005D394E">
            <w:pPr>
              <w:keepLines/>
              <w:widowControl w:val="0"/>
              <w:jc w:val="center"/>
              <w:rPr>
                <w:rFonts w:cstheme="minorHAnsi"/>
                <w:sz w:val="20"/>
                <w:szCs w:val="20"/>
              </w:rPr>
            </w:pPr>
            <w:r w:rsidRPr="003A184B">
              <w:rPr>
                <w:sz w:val="20"/>
                <w:szCs w:val="20"/>
              </w:rPr>
              <w:lastRenderedPageBreak/>
              <w:t>1.2</w:t>
            </w:r>
          </w:p>
        </w:tc>
        <w:tc>
          <w:tcPr>
            <w:tcW w:w="6120" w:type="dxa"/>
          </w:tcPr>
          <w:p w14:paraId="741E4B82" w14:textId="7DBF0C3E" w:rsidR="00D121E4" w:rsidRPr="003A184B" w:rsidRDefault="00C2114C" w:rsidP="00E52E94">
            <w:pPr>
              <w:autoSpaceDE w:val="0"/>
              <w:autoSpaceDN w:val="0"/>
              <w:adjustRightInd w:val="0"/>
              <w:jc w:val="both"/>
              <w:rPr>
                <w:rFonts w:ascii="CIDFont+F1" w:hAnsi="CIDFont+F1" w:cs="CIDFont+F1"/>
                <w:sz w:val="20"/>
                <w:szCs w:val="20"/>
              </w:rPr>
            </w:pPr>
            <w:r w:rsidRPr="00C2114C">
              <w:rPr>
                <w:b/>
                <w:color w:val="5B9BD5" w:themeColor="accent5"/>
                <w:sz w:val="20"/>
                <w:szCs w:val="20"/>
              </w:rPr>
              <w:t>INSTRUMENTS ENVIRONNEMENTAUX ET SOCIAUX</w:t>
            </w:r>
            <w:r>
              <w:rPr>
                <w:b/>
                <w:color w:val="5B9BD5" w:themeColor="accent5"/>
                <w:sz w:val="20"/>
                <w:szCs w:val="20"/>
              </w:rPr>
              <w:t xml:space="preserve"> </w:t>
            </w:r>
            <w:r w:rsidR="00850F4E" w:rsidRPr="003A184B">
              <w:rPr>
                <w:rFonts w:ascii="CIDFont+F1" w:hAnsi="CIDFont+F1" w:cs="CIDFont+F1"/>
                <w:sz w:val="20"/>
                <w:szCs w:val="20"/>
              </w:rPr>
              <w:t xml:space="preserve">L'Emprunteur </w:t>
            </w:r>
            <w:r w:rsidR="00D121E4" w:rsidRPr="003A184B">
              <w:rPr>
                <w:rFonts w:ascii="CIDFont+F1" w:hAnsi="CIDFont+F1" w:cs="CIDFont+F1"/>
                <w:sz w:val="20"/>
                <w:szCs w:val="20"/>
              </w:rPr>
              <w:t>à travers l’UGP</w:t>
            </w:r>
            <w:r w:rsidR="00850F4E" w:rsidRPr="003A184B">
              <w:rPr>
                <w:rFonts w:ascii="CIDFont+F1" w:hAnsi="CIDFont+F1" w:cs="CIDFont+F1"/>
                <w:sz w:val="20"/>
                <w:szCs w:val="20"/>
              </w:rPr>
              <w:t>C</w:t>
            </w:r>
            <w:r w:rsidR="00D121E4" w:rsidRPr="003A184B">
              <w:rPr>
                <w:rFonts w:ascii="CIDFont+F1" w:hAnsi="CIDFont+F1" w:cs="CIDFont+F1"/>
                <w:sz w:val="20"/>
                <w:szCs w:val="20"/>
              </w:rPr>
              <w:t xml:space="preserve"> procèdera à </w:t>
            </w:r>
            <w:r w:rsidR="003D427E" w:rsidRPr="003A184B">
              <w:rPr>
                <w:rFonts w:ascii="CIDFont+F1" w:hAnsi="CIDFont+F1" w:cs="CIDFont+F1"/>
                <w:sz w:val="20"/>
                <w:szCs w:val="20"/>
              </w:rPr>
              <w:t>des</w:t>
            </w:r>
            <w:r w:rsidR="00D121E4" w:rsidRPr="003A184B">
              <w:rPr>
                <w:rFonts w:ascii="CIDFont+F1" w:hAnsi="CIDFont+F1" w:cs="CIDFont+F1"/>
                <w:sz w:val="20"/>
                <w:szCs w:val="20"/>
              </w:rPr>
              <w:t xml:space="preserve"> évaluation</w:t>
            </w:r>
            <w:r w:rsidR="003D427E" w:rsidRPr="003A184B">
              <w:rPr>
                <w:rFonts w:ascii="CIDFont+F1" w:hAnsi="CIDFont+F1" w:cs="CIDFont+F1"/>
                <w:sz w:val="20"/>
                <w:szCs w:val="20"/>
              </w:rPr>
              <w:t xml:space="preserve">s /études </w:t>
            </w:r>
            <w:r w:rsidR="00D121E4" w:rsidRPr="003A184B">
              <w:rPr>
                <w:rFonts w:ascii="CIDFont+F1" w:hAnsi="CIDFont+F1" w:cs="CIDFont+F1"/>
                <w:sz w:val="20"/>
                <w:szCs w:val="20"/>
              </w:rPr>
              <w:t>environnementale</w:t>
            </w:r>
            <w:r w:rsidR="003D427E" w:rsidRPr="003A184B">
              <w:rPr>
                <w:rFonts w:ascii="CIDFont+F1" w:hAnsi="CIDFont+F1" w:cs="CIDFont+F1"/>
                <w:sz w:val="20"/>
                <w:szCs w:val="20"/>
              </w:rPr>
              <w:t>s</w:t>
            </w:r>
            <w:r w:rsidR="00D121E4" w:rsidRPr="003A184B">
              <w:rPr>
                <w:rFonts w:ascii="CIDFont+F1" w:hAnsi="CIDFont+F1" w:cs="CIDFont+F1"/>
                <w:sz w:val="20"/>
                <w:szCs w:val="20"/>
              </w:rPr>
              <w:t xml:space="preserve"> et sociale</w:t>
            </w:r>
            <w:r w:rsidR="003D427E" w:rsidRPr="003A184B">
              <w:rPr>
                <w:rFonts w:ascii="CIDFont+F1" w:hAnsi="CIDFont+F1" w:cs="CIDFont+F1"/>
                <w:sz w:val="20"/>
                <w:szCs w:val="20"/>
              </w:rPr>
              <w:t>s</w:t>
            </w:r>
            <w:r w:rsidR="00D121E4" w:rsidRPr="003A184B">
              <w:rPr>
                <w:rFonts w:ascii="CIDFont+F1" w:hAnsi="CIDFont+F1" w:cs="CIDFont+F1"/>
                <w:sz w:val="20"/>
                <w:szCs w:val="20"/>
              </w:rPr>
              <w:t xml:space="preserve"> pour identifier et évaluer les risques et</w:t>
            </w:r>
            <w:r w:rsidR="003D427E" w:rsidRPr="003A184B">
              <w:rPr>
                <w:rFonts w:ascii="CIDFont+F1" w:hAnsi="CIDFont+F1" w:cs="CIDFont+F1"/>
                <w:sz w:val="20"/>
                <w:szCs w:val="20"/>
              </w:rPr>
              <w:t xml:space="preserve"> </w:t>
            </w:r>
            <w:r w:rsidR="00D121E4" w:rsidRPr="003A184B">
              <w:rPr>
                <w:rFonts w:ascii="CIDFont+F1" w:hAnsi="CIDFont+F1" w:cs="CIDFont+F1"/>
                <w:sz w:val="20"/>
                <w:szCs w:val="20"/>
              </w:rPr>
              <w:t>impacts environnementaux et sociaux potentiels des activités prévues d</w:t>
            </w:r>
            <w:r w:rsidR="003D427E" w:rsidRPr="003A184B">
              <w:rPr>
                <w:rFonts w:ascii="CIDFont+F1" w:hAnsi="CIDFont+F1" w:cs="CIDFont+F1"/>
                <w:sz w:val="20"/>
                <w:szCs w:val="20"/>
              </w:rPr>
              <w:t xml:space="preserve">ans le cadre du </w:t>
            </w:r>
            <w:r w:rsidR="00D121E4" w:rsidRPr="003A184B">
              <w:rPr>
                <w:rFonts w:ascii="CIDFont+F1" w:hAnsi="CIDFont+F1" w:cs="CIDFont+F1"/>
                <w:sz w:val="20"/>
                <w:szCs w:val="20"/>
              </w:rPr>
              <w:t>Projet et les mesures d’atténuation appropriées.</w:t>
            </w:r>
          </w:p>
          <w:p w14:paraId="0B1F019F" w14:textId="3F8DE2F7" w:rsidR="00850F4E" w:rsidRPr="003A184B" w:rsidRDefault="00850F4E" w:rsidP="00E52E94">
            <w:pPr>
              <w:autoSpaceDE w:val="0"/>
              <w:autoSpaceDN w:val="0"/>
              <w:adjustRightInd w:val="0"/>
              <w:jc w:val="both"/>
              <w:rPr>
                <w:rFonts w:ascii="CIDFont+F1" w:hAnsi="CIDFont+F1" w:cs="CIDFont+F1"/>
                <w:sz w:val="20"/>
                <w:szCs w:val="20"/>
              </w:rPr>
            </w:pPr>
          </w:p>
          <w:p w14:paraId="2593C1A1" w14:textId="77777777" w:rsidR="00850F4E" w:rsidRPr="003A184B" w:rsidRDefault="00850F4E" w:rsidP="00850F4E">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Préparer, consulter, adopter et publier le CGES.</w:t>
            </w:r>
          </w:p>
          <w:p w14:paraId="4148EC08" w14:textId="77777777" w:rsidR="00850F4E" w:rsidRPr="003A184B" w:rsidRDefault="00850F4E" w:rsidP="00E52E94">
            <w:pPr>
              <w:autoSpaceDE w:val="0"/>
              <w:autoSpaceDN w:val="0"/>
              <w:adjustRightInd w:val="0"/>
              <w:jc w:val="both"/>
              <w:rPr>
                <w:rFonts w:ascii="CIDFont+F1" w:hAnsi="CIDFont+F1" w:cs="CIDFont+F1"/>
                <w:sz w:val="20"/>
                <w:szCs w:val="20"/>
              </w:rPr>
            </w:pPr>
          </w:p>
          <w:p w14:paraId="0A06DB54" w14:textId="77777777" w:rsidR="00CB19AC" w:rsidRPr="003A184B" w:rsidRDefault="00CB19AC" w:rsidP="00CB19AC">
            <w:pPr>
              <w:autoSpaceDE w:val="0"/>
              <w:autoSpaceDN w:val="0"/>
              <w:adjustRightInd w:val="0"/>
              <w:rPr>
                <w:rFonts w:ascii="CIDFont+F1" w:hAnsi="CIDFont+F1" w:cs="CIDFont+F1"/>
                <w:sz w:val="20"/>
                <w:szCs w:val="20"/>
              </w:rPr>
            </w:pPr>
          </w:p>
          <w:p w14:paraId="5735D1DD" w14:textId="77777777" w:rsidR="00850F4E" w:rsidRPr="003A184B" w:rsidRDefault="00850F4E" w:rsidP="00850F4E">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Préparer, consulter, adopter et rendre public, puis mettre en œuvre tout plan de gestion environnementale et sociale ou tout autre instrument requis pour chacune des activités du projet, sur la base du processus d'évaluation, conformément au CGES, d'une manière acceptable pour la Banque.</w:t>
            </w:r>
          </w:p>
          <w:p w14:paraId="5FBB36F9" w14:textId="77777777" w:rsidR="00CB19AC" w:rsidRPr="003A184B" w:rsidRDefault="00CB19AC" w:rsidP="00D121E4">
            <w:pPr>
              <w:autoSpaceDE w:val="0"/>
              <w:autoSpaceDN w:val="0"/>
              <w:adjustRightInd w:val="0"/>
              <w:rPr>
                <w:rFonts w:ascii="CIDFont+F1" w:hAnsi="CIDFont+F1" w:cs="CIDFont+F1"/>
                <w:sz w:val="20"/>
                <w:szCs w:val="20"/>
              </w:rPr>
            </w:pPr>
          </w:p>
          <w:p w14:paraId="2A90C0AF" w14:textId="2881E693" w:rsidR="00850F4E" w:rsidRPr="003A184B" w:rsidRDefault="00232737" w:rsidP="00E52E94">
            <w:pPr>
              <w:autoSpaceDE w:val="0"/>
              <w:autoSpaceDN w:val="0"/>
              <w:adjustRightInd w:val="0"/>
              <w:jc w:val="both"/>
              <w:rPr>
                <w:sz w:val="20"/>
                <w:szCs w:val="20"/>
              </w:rPr>
            </w:pPr>
            <w:r w:rsidRPr="003A184B">
              <w:rPr>
                <w:bCs/>
                <w:sz w:val="20"/>
                <w:szCs w:val="20"/>
              </w:rPr>
              <w:t xml:space="preserve">Intégrer les aspects pertinents de ce CGES, y compris, mais sans s'y limiter, tout plan de gestion environnementale et sociale, les exigences de la NES2 et toute autre mesure environnementale, sociale, sanitaire et sécuritaire (ESSS) requise, dans les spécifications des documents d'approvisionnement et les contrats avec </w:t>
            </w:r>
            <w:r w:rsidRPr="003A184B">
              <w:rPr>
                <w:rFonts w:ascii="CIDFont+F1" w:hAnsi="CIDFont+F1" w:cs="CIDFont+F1"/>
                <w:sz w:val="20"/>
                <w:szCs w:val="20"/>
              </w:rPr>
              <w:t>les prestataires et mission de contrôle</w:t>
            </w:r>
            <w:r w:rsidRPr="003A184B">
              <w:rPr>
                <w:bCs/>
                <w:sz w:val="20"/>
                <w:szCs w:val="20"/>
              </w:rPr>
              <w:t>. Par la suite, s'assurer que les prestataires et sociétés de tutelle respectent les spécifications ESSS dans leurs contrats respectifs.</w:t>
            </w:r>
          </w:p>
          <w:p w14:paraId="4DA2D92A" w14:textId="680C0698" w:rsidR="00976E18" w:rsidRPr="003A184B" w:rsidRDefault="00976E18" w:rsidP="005071C4">
            <w:pPr>
              <w:keepLines/>
              <w:widowControl w:val="0"/>
              <w:rPr>
                <w:bCs/>
                <w:sz w:val="20"/>
                <w:szCs w:val="20"/>
              </w:rPr>
            </w:pPr>
          </w:p>
        </w:tc>
        <w:tc>
          <w:tcPr>
            <w:tcW w:w="3780" w:type="dxa"/>
          </w:tcPr>
          <w:p w14:paraId="31ABA4E4" w14:textId="77777777" w:rsidR="004B0228" w:rsidRPr="003A184B" w:rsidRDefault="004B0228" w:rsidP="00E52E94">
            <w:pPr>
              <w:autoSpaceDE w:val="0"/>
              <w:autoSpaceDN w:val="0"/>
              <w:adjustRightInd w:val="0"/>
              <w:rPr>
                <w:rFonts w:ascii="CIDFont+F6" w:hAnsi="CIDFont+F6" w:cs="CIDFont+F6"/>
                <w:sz w:val="20"/>
                <w:szCs w:val="20"/>
              </w:rPr>
            </w:pPr>
          </w:p>
          <w:p w14:paraId="4D5A70A0" w14:textId="294A5D92" w:rsidR="00232737" w:rsidRPr="003A184B" w:rsidRDefault="00232737" w:rsidP="00D23C51">
            <w:pPr>
              <w:autoSpaceDE w:val="0"/>
              <w:autoSpaceDN w:val="0"/>
              <w:adjustRightInd w:val="0"/>
              <w:jc w:val="both"/>
              <w:rPr>
                <w:rFonts w:ascii="CIDFont+F6" w:hAnsi="CIDFont+F6" w:cs="CIDFont+F6"/>
                <w:sz w:val="20"/>
                <w:szCs w:val="20"/>
              </w:rPr>
            </w:pPr>
            <w:r w:rsidRPr="003A184B">
              <w:rPr>
                <w:rFonts w:ascii="CIDFont+F6" w:hAnsi="CIDFont+F6" w:cs="CIDFont+F6"/>
                <w:sz w:val="20"/>
                <w:szCs w:val="20"/>
              </w:rPr>
              <w:t>Le CGES doit être préparé, consulté et rendu public avant les négociations.</w:t>
            </w:r>
          </w:p>
          <w:p w14:paraId="24F46FCD" w14:textId="77777777" w:rsidR="00232737" w:rsidRPr="003A184B" w:rsidRDefault="00232737" w:rsidP="00D23C51">
            <w:pPr>
              <w:autoSpaceDE w:val="0"/>
              <w:autoSpaceDN w:val="0"/>
              <w:adjustRightInd w:val="0"/>
              <w:jc w:val="both"/>
              <w:rPr>
                <w:rFonts w:ascii="CIDFont+F6" w:hAnsi="CIDFont+F6" w:cs="CIDFont+F6"/>
                <w:sz w:val="20"/>
                <w:szCs w:val="20"/>
              </w:rPr>
            </w:pPr>
          </w:p>
          <w:p w14:paraId="4CE5DC89" w14:textId="77777777" w:rsidR="00232737" w:rsidRPr="003A184B" w:rsidRDefault="00232737" w:rsidP="00232737">
            <w:pPr>
              <w:keepLines/>
              <w:widowControl w:val="0"/>
              <w:rPr>
                <w:rFonts w:cstheme="minorHAnsi"/>
                <w:sz w:val="20"/>
                <w:szCs w:val="20"/>
              </w:rPr>
            </w:pPr>
            <w:r w:rsidRPr="003A184B">
              <w:rPr>
                <w:rFonts w:cstheme="minorHAnsi"/>
                <w:sz w:val="20"/>
                <w:szCs w:val="20"/>
              </w:rPr>
              <w:t>L'Emprunteur devra se conformer au CGES tout au long de la mise en œuvre du Projet.</w:t>
            </w:r>
          </w:p>
          <w:p w14:paraId="2B32C9EB" w14:textId="77777777" w:rsidR="00232737" w:rsidRPr="003A184B" w:rsidRDefault="00232737" w:rsidP="00D23C51">
            <w:pPr>
              <w:autoSpaceDE w:val="0"/>
              <w:autoSpaceDN w:val="0"/>
              <w:adjustRightInd w:val="0"/>
              <w:jc w:val="both"/>
              <w:rPr>
                <w:rFonts w:ascii="CIDFont+F6" w:hAnsi="CIDFont+F6" w:cs="CIDFont+F6"/>
                <w:sz w:val="20"/>
                <w:szCs w:val="20"/>
              </w:rPr>
            </w:pPr>
          </w:p>
          <w:p w14:paraId="54DB64D7" w14:textId="3DB3377E" w:rsidR="00232737" w:rsidRPr="003A184B" w:rsidRDefault="00232737" w:rsidP="00232737">
            <w:pPr>
              <w:keepLines/>
              <w:widowControl w:val="0"/>
              <w:rPr>
                <w:rFonts w:cstheme="minorHAnsi"/>
                <w:sz w:val="20"/>
                <w:szCs w:val="20"/>
              </w:rPr>
            </w:pPr>
            <w:r w:rsidRPr="003A184B">
              <w:rPr>
                <w:rFonts w:cstheme="minorHAnsi"/>
                <w:sz w:val="20"/>
                <w:szCs w:val="20"/>
              </w:rPr>
              <w:t xml:space="preserve">Les évaluations d'impact environnemental et social (EIES)/le plan de gestion environnementale et sociale (PGES) </w:t>
            </w:r>
            <w:proofErr w:type="gramStart"/>
            <w:r w:rsidRPr="003A184B">
              <w:rPr>
                <w:rFonts w:cstheme="minorHAnsi"/>
                <w:sz w:val="20"/>
                <w:szCs w:val="20"/>
              </w:rPr>
              <w:t>doivent</w:t>
            </w:r>
            <w:proofErr w:type="gramEnd"/>
            <w:r w:rsidRPr="003A184B">
              <w:rPr>
                <w:rFonts w:cstheme="minorHAnsi"/>
                <w:sz w:val="20"/>
                <w:szCs w:val="20"/>
              </w:rPr>
              <w:t xml:space="preserve"> être préparés lors de l'identification du sous-projet et avant la mise en œuvre du sous-projet concerné et maintenus et mis en œuvre tout au long de la mise en œuvre de l'activité, du sous-projet et de l’investissement.</w:t>
            </w:r>
          </w:p>
          <w:p w14:paraId="24D98599" w14:textId="77777777" w:rsidR="00CB67B0" w:rsidRPr="003A184B" w:rsidRDefault="00CB67B0" w:rsidP="00D23C51">
            <w:pPr>
              <w:autoSpaceDE w:val="0"/>
              <w:autoSpaceDN w:val="0"/>
              <w:adjustRightInd w:val="0"/>
              <w:jc w:val="both"/>
              <w:rPr>
                <w:rFonts w:ascii="CIDFont+F6" w:hAnsi="CIDFont+F6" w:cs="CIDFont+F6"/>
                <w:sz w:val="20"/>
                <w:szCs w:val="20"/>
              </w:rPr>
            </w:pPr>
          </w:p>
          <w:p w14:paraId="4DA2D93C" w14:textId="13738436" w:rsidR="003767CF" w:rsidRPr="003A184B" w:rsidRDefault="00232737" w:rsidP="00D23C51">
            <w:pPr>
              <w:keepLines/>
              <w:widowControl w:val="0"/>
              <w:jc w:val="both"/>
              <w:rPr>
                <w:rFonts w:cstheme="minorHAnsi"/>
                <w:sz w:val="20"/>
                <w:szCs w:val="20"/>
              </w:rPr>
            </w:pPr>
            <w:r w:rsidRPr="003A184B">
              <w:rPr>
                <w:rFonts w:cstheme="minorHAnsi"/>
                <w:sz w:val="20"/>
                <w:szCs w:val="20"/>
              </w:rPr>
              <w:t>Superviser les prestataires/sous-traitants tout au long de la mise en œuvre du projet.</w:t>
            </w:r>
          </w:p>
        </w:tc>
        <w:tc>
          <w:tcPr>
            <w:tcW w:w="3690" w:type="dxa"/>
          </w:tcPr>
          <w:p w14:paraId="073DC5BB" w14:textId="77777777" w:rsidR="004B0228" w:rsidRPr="003A184B" w:rsidRDefault="004B0228" w:rsidP="005D394E">
            <w:pPr>
              <w:keepLines/>
              <w:widowControl w:val="0"/>
              <w:rPr>
                <w:rFonts w:cstheme="minorHAnsi"/>
                <w:sz w:val="20"/>
                <w:szCs w:val="20"/>
              </w:rPr>
            </w:pPr>
          </w:p>
          <w:p w14:paraId="3749BAAF" w14:textId="2BC2C50D" w:rsidR="00502173" w:rsidRPr="003A184B" w:rsidRDefault="002109C9" w:rsidP="005D394E">
            <w:pPr>
              <w:keepLines/>
              <w:widowControl w:val="0"/>
              <w:rPr>
                <w:rFonts w:cstheme="minorHAnsi"/>
                <w:sz w:val="20"/>
                <w:szCs w:val="20"/>
              </w:rPr>
            </w:pPr>
            <w:r w:rsidRPr="003A184B">
              <w:rPr>
                <w:rFonts w:cstheme="minorHAnsi"/>
                <w:sz w:val="20"/>
                <w:szCs w:val="20"/>
              </w:rPr>
              <w:t>MAPMDREF/UGP</w:t>
            </w:r>
            <w:r w:rsidR="00232737" w:rsidRPr="003A184B">
              <w:rPr>
                <w:rFonts w:cstheme="minorHAnsi"/>
                <w:sz w:val="20"/>
                <w:szCs w:val="20"/>
              </w:rPr>
              <w:t>C/</w:t>
            </w:r>
            <w:proofErr w:type="spellStart"/>
            <w:r w:rsidR="00232737" w:rsidRPr="003A184B">
              <w:rPr>
                <w:rFonts w:cstheme="minorHAnsi"/>
                <w:sz w:val="20"/>
                <w:szCs w:val="20"/>
              </w:rPr>
              <w:t>UGPRs</w:t>
            </w:r>
            <w:proofErr w:type="spellEnd"/>
            <w:r w:rsidR="00273BD1" w:rsidRPr="003A184B">
              <w:rPr>
                <w:rFonts w:cstheme="minorHAnsi"/>
                <w:sz w:val="20"/>
                <w:szCs w:val="20"/>
              </w:rPr>
              <w:t>.</w:t>
            </w:r>
          </w:p>
          <w:p w14:paraId="2BC82578" w14:textId="77777777" w:rsidR="00232737" w:rsidRPr="003A184B" w:rsidRDefault="00232737" w:rsidP="00232737">
            <w:pPr>
              <w:keepLines/>
              <w:widowControl w:val="0"/>
              <w:rPr>
                <w:rFonts w:cstheme="minorHAnsi"/>
                <w:sz w:val="20"/>
                <w:szCs w:val="20"/>
              </w:rPr>
            </w:pPr>
          </w:p>
          <w:p w14:paraId="3852423D" w14:textId="77777777" w:rsidR="00232737" w:rsidRPr="003A184B" w:rsidRDefault="00232737" w:rsidP="00232737">
            <w:pPr>
              <w:keepLines/>
              <w:widowControl w:val="0"/>
              <w:rPr>
                <w:rFonts w:cstheme="minorHAnsi"/>
                <w:sz w:val="20"/>
                <w:szCs w:val="20"/>
              </w:rPr>
            </w:pPr>
          </w:p>
          <w:p w14:paraId="64D7A326" w14:textId="77777777" w:rsidR="00232737" w:rsidRPr="003A184B" w:rsidRDefault="00232737" w:rsidP="00232737">
            <w:pPr>
              <w:keepLines/>
              <w:widowControl w:val="0"/>
              <w:rPr>
                <w:rFonts w:cstheme="minorHAnsi"/>
                <w:sz w:val="20"/>
                <w:szCs w:val="20"/>
              </w:rPr>
            </w:pPr>
          </w:p>
          <w:p w14:paraId="4DA2D93D" w14:textId="72A4B6D3" w:rsidR="00232737" w:rsidRPr="003A184B" w:rsidRDefault="00232737" w:rsidP="00232737">
            <w:pPr>
              <w:keepLines/>
              <w:widowControl w:val="0"/>
              <w:rPr>
                <w:rFonts w:cstheme="minorHAnsi"/>
                <w:sz w:val="20"/>
                <w:szCs w:val="20"/>
              </w:rPr>
            </w:pPr>
          </w:p>
        </w:tc>
      </w:tr>
      <w:tr w:rsidR="007D7AA2" w:rsidRPr="003A184B" w14:paraId="4DA2D945" w14:textId="77777777" w:rsidTr="00594521">
        <w:trPr>
          <w:cantSplit/>
          <w:trHeight w:val="20"/>
        </w:trPr>
        <w:tc>
          <w:tcPr>
            <w:tcW w:w="715" w:type="dxa"/>
          </w:tcPr>
          <w:p w14:paraId="4DA2D93F" w14:textId="77777777" w:rsidR="007D7AA2" w:rsidRPr="003A184B" w:rsidRDefault="007D7AA2" w:rsidP="007D7AA2">
            <w:pPr>
              <w:keepLines/>
              <w:widowControl w:val="0"/>
              <w:jc w:val="center"/>
              <w:rPr>
                <w:rFonts w:cstheme="minorHAnsi"/>
                <w:sz w:val="20"/>
                <w:szCs w:val="20"/>
              </w:rPr>
            </w:pPr>
            <w:r w:rsidRPr="003A184B">
              <w:rPr>
                <w:sz w:val="20"/>
                <w:szCs w:val="20"/>
              </w:rPr>
              <w:lastRenderedPageBreak/>
              <w:t>1.3</w:t>
            </w:r>
          </w:p>
        </w:tc>
        <w:tc>
          <w:tcPr>
            <w:tcW w:w="6120" w:type="dxa"/>
          </w:tcPr>
          <w:p w14:paraId="4DA2D940" w14:textId="77777777" w:rsidR="007D7AA2" w:rsidRPr="003A184B" w:rsidRDefault="007D7AA2" w:rsidP="007D7AA2">
            <w:pPr>
              <w:keepLines/>
              <w:widowControl w:val="0"/>
              <w:rPr>
                <w:rFonts w:cstheme="minorHAnsi"/>
                <w:sz w:val="20"/>
                <w:szCs w:val="20"/>
              </w:rPr>
            </w:pPr>
            <w:r w:rsidRPr="003A184B">
              <w:rPr>
                <w:b/>
                <w:color w:val="5B9BD5" w:themeColor="accent5"/>
                <w:sz w:val="20"/>
                <w:szCs w:val="20"/>
              </w:rPr>
              <w:t>OUTILS ET INSTRUMENTS DE GESTION</w:t>
            </w:r>
            <w:r w:rsidRPr="003A184B">
              <w:rPr>
                <w:color w:val="5B9BD5" w:themeColor="accent5"/>
                <w:sz w:val="20"/>
                <w:szCs w:val="20"/>
              </w:rPr>
              <w:t xml:space="preserve"> </w:t>
            </w:r>
          </w:p>
          <w:p w14:paraId="0D7CE299" w14:textId="745F5F81" w:rsidR="007D7AA2" w:rsidRPr="003A184B" w:rsidRDefault="007D7AA2" w:rsidP="00232737">
            <w:pPr>
              <w:autoSpaceDE w:val="0"/>
              <w:autoSpaceDN w:val="0"/>
              <w:adjustRightInd w:val="0"/>
              <w:jc w:val="both"/>
              <w:rPr>
                <w:rFonts w:ascii="CIDFont+F1" w:hAnsi="CIDFont+F1" w:cs="CIDFont+F1"/>
                <w:color w:val="000000"/>
                <w:sz w:val="20"/>
                <w:szCs w:val="20"/>
              </w:rPr>
            </w:pPr>
            <w:r w:rsidRPr="003A184B">
              <w:rPr>
                <w:rFonts w:ascii="CIDFont+F1" w:hAnsi="CIDFont+F1" w:cs="CIDFont+F1"/>
                <w:color w:val="000000"/>
                <w:sz w:val="20"/>
                <w:szCs w:val="20"/>
              </w:rPr>
              <w:t xml:space="preserve">Des instruments </w:t>
            </w:r>
            <w:r w:rsidR="00232737" w:rsidRPr="003A184B">
              <w:rPr>
                <w:rFonts w:ascii="CIDFont+F1" w:hAnsi="CIDFont+F1" w:cs="CIDFont+F1"/>
                <w:color w:val="000000"/>
                <w:sz w:val="20"/>
                <w:szCs w:val="20"/>
              </w:rPr>
              <w:t xml:space="preserve">environnementaux et sociaux </w:t>
            </w:r>
            <w:r w:rsidR="0078611B" w:rsidRPr="003A184B">
              <w:rPr>
                <w:rFonts w:ascii="CIDFont+F1" w:hAnsi="CIDFont+F1" w:cs="CIDFont+F1"/>
                <w:color w:val="000000"/>
                <w:sz w:val="20"/>
                <w:szCs w:val="20"/>
              </w:rPr>
              <w:t>conformes aux exigences de la NES 1</w:t>
            </w:r>
            <w:r w:rsidRPr="003A184B">
              <w:rPr>
                <w:rFonts w:ascii="CIDFont+F1" w:hAnsi="CIDFont+F1" w:cs="CIDFont+F1"/>
                <w:color w:val="000000"/>
                <w:sz w:val="20"/>
                <w:szCs w:val="20"/>
              </w:rPr>
              <w:t>, le Cadre de Gestion Environnementale et Sociale (CGES) incluant un PGES</w:t>
            </w:r>
            <w:r w:rsidR="00232737" w:rsidRPr="003A184B">
              <w:rPr>
                <w:rFonts w:ascii="CIDFont+F1" w:hAnsi="CIDFont+F1" w:cs="CIDFont+F1"/>
                <w:color w:val="000000"/>
                <w:sz w:val="20"/>
                <w:szCs w:val="20"/>
              </w:rPr>
              <w:t xml:space="preserve"> (par sous-projet/activité nécessitant une </w:t>
            </w:r>
            <w:r w:rsidR="00232737" w:rsidRPr="003A184B">
              <w:rPr>
                <w:rFonts w:ascii="CIDFont+F1" w:hAnsi="CIDFont+F1" w:cs="CIDFont+F1"/>
                <w:sz w:val="20"/>
                <w:szCs w:val="20"/>
              </w:rPr>
              <w:t>EIES/PGES conformément au CGES), le plan de santé et de sécurité</w:t>
            </w:r>
            <w:r w:rsidRPr="003A184B">
              <w:rPr>
                <w:rFonts w:ascii="CIDFont+F1" w:hAnsi="CIDFont+F1" w:cs="CIDFont+F1"/>
                <w:sz w:val="20"/>
                <w:szCs w:val="20"/>
              </w:rPr>
              <w:t xml:space="preserve">, le Cadre de Politique de Réinstallation (CPR), </w:t>
            </w:r>
            <w:r w:rsidR="00232737" w:rsidRPr="003A184B">
              <w:rPr>
                <w:rFonts w:ascii="CIDFont+F1" w:hAnsi="CIDFont+F1" w:cs="CIDFont+F1"/>
                <w:sz w:val="20"/>
                <w:szCs w:val="20"/>
              </w:rPr>
              <w:t xml:space="preserve">y compris les RP, </w:t>
            </w:r>
            <w:r w:rsidRPr="003A184B">
              <w:rPr>
                <w:rFonts w:ascii="CIDFont+F1" w:hAnsi="CIDFont+F1" w:cs="CIDFont+F1"/>
                <w:sz w:val="20"/>
                <w:szCs w:val="20"/>
              </w:rPr>
              <w:t>le Plan de Mobi</w:t>
            </w:r>
            <w:r w:rsidRPr="003A184B">
              <w:rPr>
                <w:rFonts w:ascii="CIDFont+F1" w:hAnsi="CIDFont+F1" w:cs="CIDFont+F1"/>
                <w:color w:val="000000"/>
                <w:sz w:val="20"/>
                <w:szCs w:val="20"/>
              </w:rPr>
              <w:t xml:space="preserve">lisation des Parties Prenantes (PMPP) et la Procédure de Gestion de la Main d’œuvre (PGMO) </w:t>
            </w:r>
            <w:r w:rsidR="00232737" w:rsidRPr="003A184B">
              <w:rPr>
                <w:rFonts w:ascii="CIDFont+F1" w:hAnsi="CIDFont+F1" w:cs="CIDFont+F1"/>
                <w:color w:val="000000"/>
                <w:sz w:val="20"/>
                <w:szCs w:val="20"/>
              </w:rPr>
              <w:t>y compris les codes de conduite interdisant tous les actes d'EAS/SH et prévoyant un plan de formation régulière des travailleurs ont été préparés avant la négociation du financement.</w:t>
            </w:r>
          </w:p>
          <w:p w14:paraId="2AA8EA22" w14:textId="77777777" w:rsidR="007D7AA2" w:rsidRPr="003A184B" w:rsidRDefault="007D7AA2" w:rsidP="007D7AA2">
            <w:pPr>
              <w:autoSpaceDE w:val="0"/>
              <w:autoSpaceDN w:val="0"/>
              <w:adjustRightInd w:val="0"/>
              <w:rPr>
                <w:rFonts w:ascii="CIDFont+F1" w:hAnsi="CIDFont+F1" w:cs="CIDFont+F1"/>
                <w:color w:val="000000"/>
                <w:sz w:val="20"/>
                <w:szCs w:val="20"/>
              </w:rPr>
            </w:pPr>
          </w:p>
          <w:p w14:paraId="09B83FF9" w14:textId="77777777" w:rsidR="00B93CD1" w:rsidRPr="003A184B" w:rsidRDefault="00B93CD1" w:rsidP="00B93CD1">
            <w:pPr>
              <w:autoSpaceDE w:val="0"/>
              <w:autoSpaceDN w:val="0"/>
              <w:adjustRightInd w:val="0"/>
              <w:jc w:val="both"/>
              <w:rPr>
                <w:rFonts w:ascii="CIDFont+F1" w:hAnsi="CIDFont+F1" w:cs="CIDFont+F1"/>
                <w:color w:val="000000"/>
                <w:sz w:val="20"/>
                <w:szCs w:val="20"/>
              </w:rPr>
            </w:pPr>
            <w:r w:rsidRPr="003A184B">
              <w:rPr>
                <w:rFonts w:ascii="CIDFont+F1" w:hAnsi="CIDFont+F1" w:cs="CIDFont+F1"/>
                <w:color w:val="000000"/>
                <w:sz w:val="20"/>
                <w:szCs w:val="20"/>
              </w:rPr>
              <w:t xml:space="preserve">Durant la mise en œuvre du projet, des évaluations environnementales et sociales spécifiques requises pour chaque sous-projet envisagé (examen </w:t>
            </w:r>
            <w:r w:rsidRPr="003A184B">
              <w:rPr>
                <w:rFonts w:ascii="CIDFont+F1" w:hAnsi="CIDFont+F1" w:cs="CIDFont+F1"/>
                <w:sz w:val="20"/>
                <w:szCs w:val="20"/>
              </w:rPr>
              <w:t xml:space="preserve">préalable, EIES, évaluations sociales et PR, etc.) </w:t>
            </w:r>
            <w:r w:rsidRPr="003A184B">
              <w:rPr>
                <w:rFonts w:ascii="CIDFont+F1" w:hAnsi="CIDFont+F1" w:cs="CIDFont+F1"/>
                <w:color w:val="000000"/>
                <w:sz w:val="20"/>
                <w:szCs w:val="20"/>
              </w:rPr>
              <w:t>seront préparées, y compris un plan d'action EAS/HS et un mécanisme Gestion des Plaintes fonctionnel comprenant une annexe avec des procédures détaillées pour traiter les plaintes EAS/HS de manière confidentielle, éthique, non discriminatoire et centrée sur les survivants. D'autres outils et instruments spécifiques d'évaluation (cadres et plans) et de gestion des risques seront préparés au besoin.</w:t>
            </w:r>
          </w:p>
          <w:p w14:paraId="186D80D2" w14:textId="77777777" w:rsidR="007D7AA2" w:rsidRPr="003A184B" w:rsidRDefault="007D7AA2" w:rsidP="007D7AA2">
            <w:pPr>
              <w:autoSpaceDE w:val="0"/>
              <w:autoSpaceDN w:val="0"/>
              <w:adjustRightInd w:val="0"/>
              <w:rPr>
                <w:rFonts w:ascii="CIDFont+F1" w:hAnsi="CIDFont+F1" w:cs="CIDFont+F1"/>
                <w:color w:val="000000"/>
                <w:sz w:val="20"/>
                <w:szCs w:val="20"/>
              </w:rPr>
            </w:pPr>
          </w:p>
          <w:p w14:paraId="1EB4E4AD" w14:textId="0383995E" w:rsidR="007D7AA2" w:rsidRPr="003A184B" w:rsidRDefault="007D7AA2" w:rsidP="00E52E94">
            <w:pPr>
              <w:autoSpaceDE w:val="0"/>
              <w:autoSpaceDN w:val="0"/>
              <w:adjustRightInd w:val="0"/>
              <w:rPr>
                <w:rFonts w:ascii="CIDFont+F1" w:hAnsi="CIDFont+F1" w:cs="CIDFont+F1"/>
                <w:color w:val="000000"/>
                <w:sz w:val="20"/>
                <w:szCs w:val="20"/>
              </w:rPr>
            </w:pPr>
            <w:r w:rsidRPr="003A184B">
              <w:rPr>
                <w:rFonts w:ascii="CIDFont+F1" w:hAnsi="CIDFont+F1" w:cs="CIDFont+F1"/>
                <w:color w:val="000000"/>
                <w:sz w:val="20"/>
                <w:szCs w:val="20"/>
              </w:rPr>
              <w:t>L</w:t>
            </w:r>
            <w:r w:rsidR="00B93CD1" w:rsidRPr="003A184B">
              <w:rPr>
                <w:rFonts w:ascii="CIDFont+F1" w:hAnsi="CIDFont+F1" w:cs="CIDFont+F1"/>
                <w:color w:val="000000"/>
                <w:sz w:val="20"/>
                <w:szCs w:val="20"/>
              </w:rPr>
              <w:t xml:space="preserve">’Emprunteur </w:t>
            </w:r>
            <w:r w:rsidR="00B93CD1" w:rsidRPr="003A184B">
              <w:rPr>
                <w:rFonts w:cstheme="minorHAnsi"/>
                <w:sz w:val="20"/>
                <w:szCs w:val="20"/>
              </w:rPr>
              <w:t xml:space="preserve">devra également élaborer </w:t>
            </w:r>
            <w:r w:rsidRPr="003A184B">
              <w:rPr>
                <w:rFonts w:ascii="CIDFont+F1" w:hAnsi="CIDFont+F1" w:cs="CIDFont+F1"/>
                <w:color w:val="000000"/>
                <w:sz w:val="20"/>
                <w:szCs w:val="20"/>
              </w:rPr>
              <w:t>un manuel de procédures avec une section « Mesures de sauvegardes environnementales et sociales, sur la gestion des risques de sécurité, et sur les VBG », qui décrira en détail :</w:t>
            </w:r>
          </w:p>
          <w:p w14:paraId="5C27CE9E" w14:textId="280D5A1A" w:rsidR="007D7AA2" w:rsidRPr="003A184B" w:rsidRDefault="007D7AA2" w:rsidP="00E52E94">
            <w:pPr>
              <w:pStyle w:val="ListParagraph"/>
              <w:numPr>
                <w:ilvl w:val="0"/>
                <w:numId w:val="33"/>
              </w:numPr>
              <w:autoSpaceDE w:val="0"/>
              <w:autoSpaceDN w:val="0"/>
              <w:adjustRightInd w:val="0"/>
              <w:spacing w:after="0"/>
              <w:rPr>
                <w:rFonts w:ascii="CIDFont+F1" w:hAnsi="CIDFont+F1" w:cs="CIDFont+F1"/>
                <w:color w:val="000000"/>
                <w:sz w:val="20"/>
                <w:szCs w:val="20"/>
              </w:rPr>
            </w:pPr>
            <w:r w:rsidRPr="003A184B">
              <w:rPr>
                <w:rFonts w:ascii="CIDFont+F1" w:hAnsi="CIDFont+F1" w:cs="CIDFont+F1"/>
                <w:color w:val="000000"/>
                <w:sz w:val="20"/>
                <w:szCs w:val="20"/>
              </w:rPr>
              <w:t>Le rôle des points focaux en sauvegarde environnementale et sociale et VBG dans la rédaction des sections sur les mesures de sauvegarde environnementale et sociale, à inclure dans :</w:t>
            </w:r>
          </w:p>
          <w:p w14:paraId="5865B511" w14:textId="77777777" w:rsidR="007D7AA2" w:rsidRPr="003A184B" w:rsidRDefault="007D7AA2" w:rsidP="00E52E94">
            <w:pPr>
              <w:pStyle w:val="ListParagraph"/>
              <w:numPr>
                <w:ilvl w:val="0"/>
                <w:numId w:val="32"/>
              </w:numPr>
              <w:autoSpaceDE w:val="0"/>
              <w:autoSpaceDN w:val="0"/>
              <w:adjustRightInd w:val="0"/>
              <w:spacing w:after="0"/>
              <w:ind w:left="871" w:hanging="425"/>
              <w:rPr>
                <w:rFonts w:ascii="CIDFont+F1" w:hAnsi="CIDFont+F1" w:cs="CIDFont+F1"/>
                <w:sz w:val="20"/>
                <w:szCs w:val="20"/>
              </w:rPr>
            </w:pPr>
            <w:r w:rsidRPr="003A184B">
              <w:rPr>
                <w:rFonts w:ascii="CIDFont+F1" w:hAnsi="CIDFont+F1" w:cs="CIDFont+F1"/>
                <w:sz w:val="20"/>
                <w:szCs w:val="20"/>
              </w:rPr>
              <w:t>Les rapports semestriels</w:t>
            </w:r>
          </w:p>
          <w:p w14:paraId="0987948D" w14:textId="1DC6382C" w:rsidR="007D7AA2" w:rsidRPr="003A184B" w:rsidRDefault="007D7AA2" w:rsidP="00E52E94">
            <w:pPr>
              <w:pStyle w:val="ListParagraph"/>
              <w:numPr>
                <w:ilvl w:val="0"/>
                <w:numId w:val="32"/>
              </w:numPr>
              <w:autoSpaceDE w:val="0"/>
              <w:autoSpaceDN w:val="0"/>
              <w:adjustRightInd w:val="0"/>
              <w:spacing w:after="0"/>
              <w:ind w:left="871" w:hanging="425"/>
              <w:rPr>
                <w:rFonts w:ascii="CIDFont+F1" w:hAnsi="CIDFont+F1" w:cs="CIDFont+F1"/>
                <w:sz w:val="20"/>
                <w:szCs w:val="20"/>
              </w:rPr>
            </w:pPr>
            <w:proofErr w:type="gramStart"/>
            <w:r w:rsidRPr="003A184B">
              <w:rPr>
                <w:rFonts w:ascii="CIDFont+F1" w:hAnsi="CIDFont+F1" w:cs="CIDFont+F1"/>
                <w:sz w:val="20"/>
                <w:szCs w:val="20"/>
              </w:rPr>
              <w:t>les</w:t>
            </w:r>
            <w:proofErr w:type="gramEnd"/>
            <w:r w:rsidRPr="003A184B">
              <w:rPr>
                <w:rFonts w:ascii="CIDFont+F1" w:hAnsi="CIDFont+F1" w:cs="CIDFont+F1"/>
                <w:sz w:val="20"/>
                <w:szCs w:val="20"/>
              </w:rPr>
              <w:t xml:space="preserve"> Termes de références (</w:t>
            </w:r>
            <w:proofErr w:type="spellStart"/>
            <w:r w:rsidRPr="003A184B">
              <w:rPr>
                <w:rFonts w:ascii="CIDFont+F1" w:hAnsi="CIDFont+F1" w:cs="CIDFont+F1"/>
                <w:sz w:val="20"/>
                <w:szCs w:val="20"/>
              </w:rPr>
              <w:t>TdR</w:t>
            </w:r>
            <w:proofErr w:type="spellEnd"/>
            <w:r w:rsidRPr="003A184B">
              <w:rPr>
                <w:rFonts w:ascii="CIDFont+F1" w:hAnsi="CIDFont+F1" w:cs="CIDFont+F1"/>
                <w:sz w:val="20"/>
                <w:szCs w:val="20"/>
              </w:rPr>
              <w:t xml:space="preserve">), Dossiers d’appels d’offres (DAO) et les contrats de travaux </w:t>
            </w:r>
          </w:p>
          <w:p w14:paraId="676B619E" w14:textId="3905258E" w:rsidR="007D7AA2" w:rsidRPr="003A184B" w:rsidRDefault="007D7AA2" w:rsidP="00E52E94">
            <w:pPr>
              <w:pStyle w:val="ListParagraph"/>
              <w:numPr>
                <w:ilvl w:val="0"/>
                <w:numId w:val="33"/>
              </w:numPr>
              <w:autoSpaceDE w:val="0"/>
              <w:autoSpaceDN w:val="0"/>
              <w:adjustRightInd w:val="0"/>
              <w:spacing w:after="0"/>
              <w:rPr>
                <w:rFonts w:ascii="CIDFont+F1" w:hAnsi="CIDFont+F1" w:cs="CIDFont+F1"/>
                <w:sz w:val="20"/>
                <w:szCs w:val="20"/>
              </w:rPr>
            </w:pPr>
            <w:r w:rsidRPr="003A184B">
              <w:rPr>
                <w:rFonts w:ascii="CIDFont+F1" w:hAnsi="CIDFont+F1" w:cs="CIDFont+F1"/>
                <w:sz w:val="20"/>
                <w:szCs w:val="20"/>
              </w:rPr>
              <w:t xml:space="preserve">Le rôle </w:t>
            </w:r>
            <w:r w:rsidRPr="003A184B">
              <w:rPr>
                <w:rFonts w:ascii="CIDFont+F1" w:hAnsi="CIDFont+F1" w:cs="CIDFont+F1"/>
                <w:color w:val="000000"/>
                <w:sz w:val="20"/>
                <w:szCs w:val="20"/>
              </w:rPr>
              <w:t>des</w:t>
            </w:r>
            <w:r w:rsidRPr="003A184B">
              <w:rPr>
                <w:rFonts w:ascii="CIDFont+F1" w:hAnsi="CIDFont+F1" w:cs="CIDFont+F1"/>
                <w:sz w:val="20"/>
                <w:szCs w:val="20"/>
              </w:rPr>
              <w:t xml:space="preserve"> autres acteurs au niveau </w:t>
            </w:r>
            <w:r w:rsidR="00B93CD1" w:rsidRPr="003A184B">
              <w:rPr>
                <w:rFonts w:ascii="CIDFont+F1" w:hAnsi="CIDFont+F1" w:cs="CIDFont+F1"/>
                <w:sz w:val="20"/>
                <w:szCs w:val="20"/>
              </w:rPr>
              <w:t xml:space="preserve">régional </w:t>
            </w:r>
            <w:r w:rsidRPr="003A184B">
              <w:rPr>
                <w:rFonts w:ascii="CIDFont+F1" w:hAnsi="CIDFont+F1" w:cs="CIDFont+F1"/>
                <w:sz w:val="20"/>
                <w:szCs w:val="20"/>
              </w:rPr>
              <w:t xml:space="preserve">; </w:t>
            </w:r>
          </w:p>
          <w:p w14:paraId="4821D7C2" w14:textId="1A23B88B" w:rsidR="007D7AA2" w:rsidRPr="003A184B" w:rsidRDefault="007D7AA2" w:rsidP="00E52E94">
            <w:pPr>
              <w:pStyle w:val="ListParagraph"/>
              <w:numPr>
                <w:ilvl w:val="0"/>
                <w:numId w:val="33"/>
              </w:numPr>
              <w:autoSpaceDE w:val="0"/>
              <w:autoSpaceDN w:val="0"/>
              <w:adjustRightInd w:val="0"/>
              <w:spacing w:after="0"/>
              <w:rPr>
                <w:rFonts w:ascii="CIDFont+F1" w:hAnsi="CIDFont+F1" w:cs="CIDFont+F1"/>
                <w:sz w:val="20"/>
                <w:szCs w:val="20"/>
              </w:rPr>
            </w:pPr>
            <w:proofErr w:type="gramStart"/>
            <w:r w:rsidRPr="003A184B">
              <w:rPr>
                <w:rFonts w:ascii="CIDFont+F1" w:hAnsi="CIDFont+F1" w:cs="CIDFont+F1"/>
                <w:sz w:val="20"/>
                <w:szCs w:val="20"/>
              </w:rPr>
              <w:t>les</w:t>
            </w:r>
            <w:proofErr w:type="gramEnd"/>
            <w:r w:rsidRPr="003A184B">
              <w:rPr>
                <w:rFonts w:ascii="CIDFont+F1" w:hAnsi="CIDFont+F1" w:cs="CIDFont+F1"/>
                <w:sz w:val="20"/>
                <w:szCs w:val="20"/>
              </w:rPr>
              <w:t xml:space="preserve"> </w:t>
            </w:r>
            <w:r w:rsidRPr="003A184B">
              <w:rPr>
                <w:rFonts w:ascii="CIDFont+F1" w:hAnsi="CIDFont+F1" w:cs="CIDFont+F1"/>
                <w:color w:val="000000"/>
                <w:sz w:val="20"/>
                <w:szCs w:val="20"/>
              </w:rPr>
              <w:t>indicateurs</w:t>
            </w:r>
            <w:r w:rsidRPr="003A184B">
              <w:rPr>
                <w:rFonts w:ascii="CIDFont+F1" w:hAnsi="CIDFont+F1" w:cs="CIDFont+F1"/>
                <w:sz w:val="20"/>
                <w:szCs w:val="20"/>
              </w:rPr>
              <w:t xml:space="preserve"> environnementaux et sociaux, y compris ceux sur les EAS/HS, à intégrer dans le dispositif de suivi</w:t>
            </w:r>
          </w:p>
          <w:p w14:paraId="03117345" w14:textId="77777777" w:rsidR="007D7AA2" w:rsidRPr="003A184B" w:rsidRDefault="007D7AA2" w:rsidP="007D7AA2">
            <w:pPr>
              <w:pStyle w:val="ListParagraph"/>
              <w:numPr>
                <w:ilvl w:val="0"/>
                <w:numId w:val="33"/>
              </w:numPr>
              <w:autoSpaceDE w:val="0"/>
              <w:autoSpaceDN w:val="0"/>
              <w:adjustRightInd w:val="0"/>
              <w:spacing w:after="0"/>
              <w:rPr>
                <w:rFonts w:cstheme="minorHAnsi"/>
                <w:sz w:val="20"/>
              </w:rPr>
            </w:pPr>
            <w:r w:rsidRPr="003A184B">
              <w:rPr>
                <w:rFonts w:ascii="CIDFont+F1" w:hAnsi="CIDFont+F1" w:cs="CIDFont+F1"/>
                <w:sz w:val="20"/>
                <w:szCs w:val="20"/>
              </w:rPr>
              <w:t xml:space="preserve">Les clauses environnementales et sociales minimum à faire figurer dans les </w:t>
            </w:r>
            <w:proofErr w:type="spellStart"/>
            <w:r w:rsidRPr="003A184B">
              <w:rPr>
                <w:rFonts w:ascii="CIDFont+F1" w:hAnsi="CIDFont+F1" w:cs="CIDFont+F1"/>
                <w:sz w:val="20"/>
                <w:szCs w:val="20"/>
              </w:rPr>
              <w:t>TdR</w:t>
            </w:r>
            <w:proofErr w:type="spellEnd"/>
            <w:r w:rsidRPr="003A184B">
              <w:rPr>
                <w:rFonts w:ascii="CIDFont+F1" w:hAnsi="CIDFont+F1" w:cs="CIDFont+F1"/>
                <w:sz w:val="20"/>
                <w:szCs w:val="20"/>
              </w:rPr>
              <w:t xml:space="preserve"> et les DAO (dont les codes de bonne conduite, coordination, rapports et surveillance, mécanismes de gestion des plaintes</w:t>
            </w:r>
            <w:proofErr w:type="gramStart"/>
            <w:r w:rsidRPr="003A184B">
              <w:rPr>
                <w:rFonts w:ascii="CIDFont+F1" w:hAnsi="CIDFont+F1" w:cs="CIDFont+F1"/>
                <w:sz w:val="20"/>
                <w:szCs w:val="20"/>
              </w:rPr>
              <w:t>) ,</w:t>
            </w:r>
            <w:proofErr w:type="gramEnd"/>
            <w:r w:rsidRPr="003A184B">
              <w:rPr>
                <w:rFonts w:ascii="CIDFont+F1" w:hAnsi="CIDFont+F1" w:cs="CIDFont+F1"/>
                <w:sz w:val="20"/>
                <w:szCs w:val="20"/>
              </w:rPr>
              <w:t xml:space="preserve"> </w:t>
            </w:r>
          </w:p>
          <w:p w14:paraId="51D9AD2B" w14:textId="53FB2469" w:rsidR="007D7AA2" w:rsidRPr="003A184B" w:rsidRDefault="007D7AA2" w:rsidP="007D7AA2">
            <w:pPr>
              <w:pStyle w:val="ListParagraph"/>
              <w:numPr>
                <w:ilvl w:val="0"/>
                <w:numId w:val="33"/>
              </w:numPr>
              <w:autoSpaceDE w:val="0"/>
              <w:autoSpaceDN w:val="0"/>
              <w:adjustRightInd w:val="0"/>
              <w:spacing w:after="0"/>
              <w:rPr>
                <w:rFonts w:cstheme="minorHAnsi"/>
                <w:sz w:val="20"/>
              </w:rPr>
            </w:pPr>
            <w:proofErr w:type="gramStart"/>
            <w:r w:rsidRPr="003A184B">
              <w:rPr>
                <w:rFonts w:ascii="CIDFont+F1" w:hAnsi="CIDFont+F1" w:cs="CIDFont+F1"/>
                <w:sz w:val="20"/>
                <w:szCs w:val="20"/>
              </w:rPr>
              <w:t>les</w:t>
            </w:r>
            <w:proofErr w:type="gramEnd"/>
            <w:r w:rsidRPr="003A184B">
              <w:rPr>
                <w:rFonts w:ascii="CIDFont+F1" w:hAnsi="CIDFont+F1" w:cs="CIDFont+F1"/>
                <w:sz w:val="20"/>
                <w:szCs w:val="20"/>
              </w:rPr>
              <w:t xml:space="preserve"> indicateurs environnementaux et sociaux à intégrer dans le dispositif de suivi et les délais.</w:t>
            </w:r>
            <w:r w:rsidRPr="003A184B" w:rsidDel="008A72FB">
              <w:rPr>
                <w:rFonts w:cstheme="minorHAnsi"/>
                <w:sz w:val="20"/>
              </w:rPr>
              <w:t xml:space="preserve"> </w:t>
            </w:r>
          </w:p>
          <w:p w14:paraId="4DA2D941" w14:textId="20F0B86E" w:rsidR="007D7AA2" w:rsidRPr="003A184B" w:rsidRDefault="00B93CD1" w:rsidP="00E52E94">
            <w:pPr>
              <w:pStyle w:val="ListParagraph"/>
              <w:numPr>
                <w:ilvl w:val="0"/>
                <w:numId w:val="33"/>
              </w:numPr>
              <w:autoSpaceDE w:val="0"/>
              <w:autoSpaceDN w:val="0"/>
              <w:adjustRightInd w:val="0"/>
              <w:spacing w:after="0"/>
              <w:rPr>
                <w:rFonts w:cstheme="minorHAnsi"/>
                <w:sz w:val="20"/>
              </w:rPr>
            </w:pPr>
            <w:r w:rsidRPr="003A184B">
              <w:rPr>
                <w:rFonts w:cstheme="minorHAnsi"/>
                <w:sz w:val="20"/>
                <w:szCs w:val="20"/>
              </w:rPr>
              <w:t>Exigences en matière de rapports, y compris la périodicité</w:t>
            </w:r>
          </w:p>
        </w:tc>
        <w:tc>
          <w:tcPr>
            <w:tcW w:w="3780" w:type="dxa"/>
          </w:tcPr>
          <w:p w14:paraId="76681D6F" w14:textId="77777777" w:rsidR="009570B2" w:rsidRPr="003A184B" w:rsidRDefault="009570B2" w:rsidP="007D7AA2">
            <w:pPr>
              <w:autoSpaceDE w:val="0"/>
              <w:autoSpaceDN w:val="0"/>
              <w:adjustRightInd w:val="0"/>
              <w:rPr>
                <w:rFonts w:ascii="CIDFont+F6" w:hAnsi="CIDFont+F6" w:cs="CIDFont+F6"/>
                <w:sz w:val="20"/>
                <w:szCs w:val="20"/>
              </w:rPr>
            </w:pPr>
          </w:p>
          <w:p w14:paraId="469BC0B7" w14:textId="591BDE19" w:rsidR="007D7AA2" w:rsidRPr="003A184B" w:rsidRDefault="007D7AA2" w:rsidP="009570B2">
            <w:pPr>
              <w:autoSpaceDE w:val="0"/>
              <w:autoSpaceDN w:val="0"/>
              <w:adjustRightInd w:val="0"/>
              <w:rPr>
                <w:rFonts w:ascii="CIDFont+F6" w:hAnsi="CIDFont+F6" w:cs="CIDFont+F6"/>
                <w:sz w:val="20"/>
                <w:szCs w:val="20"/>
              </w:rPr>
            </w:pPr>
            <w:r w:rsidRPr="003A184B">
              <w:rPr>
                <w:rFonts w:ascii="CIDFont+F6" w:hAnsi="CIDFont+F6" w:cs="CIDFont+F6"/>
                <w:sz w:val="20"/>
                <w:szCs w:val="20"/>
              </w:rPr>
              <w:t>CGES, CPR, PMPP, PGMO seront</w:t>
            </w:r>
            <w:r w:rsidR="009570B2" w:rsidRPr="003A184B">
              <w:rPr>
                <w:rFonts w:ascii="CIDFont+F6" w:hAnsi="CIDFont+F6" w:cs="CIDFont+F6"/>
                <w:sz w:val="20"/>
                <w:szCs w:val="20"/>
              </w:rPr>
              <w:t xml:space="preserve"> </w:t>
            </w:r>
            <w:r w:rsidR="0008197A" w:rsidRPr="003A184B">
              <w:rPr>
                <w:rFonts w:ascii="CIDFont+F6" w:hAnsi="CIDFont+F6" w:cs="CIDFont+F6"/>
                <w:sz w:val="20"/>
                <w:szCs w:val="20"/>
              </w:rPr>
              <w:t xml:space="preserve">consultés </w:t>
            </w:r>
            <w:r w:rsidRPr="003A184B">
              <w:rPr>
                <w:rFonts w:ascii="CIDFont+F6" w:hAnsi="CIDFont+F6" w:cs="CIDFont+F6"/>
                <w:sz w:val="20"/>
                <w:szCs w:val="20"/>
              </w:rPr>
              <w:t xml:space="preserve">et divulgués après l'approbation de la Banque </w:t>
            </w:r>
            <w:r w:rsidR="0008197A" w:rsidRPr="003A184B">
              <w:rPr>
                <w:rFonts w:ascii="CIDFont+F6" w:hAnsi="CIDFont+F6" w:cs="CIDFont+F6"/>
                <w:sz w:val="20"/>
                <w:szCs w:val="20"/>
              </w:rPr>
              <w:t xml:space="preserve">et ce, </w:t>
            </w:r>
            <w:r w:rsidRPr="003A184B">
              <w:rPr>
                <w:rFonts w:ascii="CIDFont+F6" w:hAnsi="CIDFont+F6" w:cs="CIDFont+F6"/>
                <w:sz w:val="20"/>
                <w:szCs w:val="20"/>
              </w:rPr>
              <w:t>avant l'évaluation du projet.</w:t>
            </w:r>
          </w:p>
          <w:p w14:paraId="11C5361F" w14:textId="77777777" w:rsidR="007D7AA2" w:rsidRPr="003A184B" w:rsidRDefault="007D7AA2" w:rsidP="007D7AA2">
            <w:pPr>
              <w:autoSpaceDE w:val="0"/>
              <w:autoSpaceDN w:val="0"/>
              <w:adjustRightInd w:val="0"/>
              <w:rPr>
                <w:rFonts w:ascii="CIDFont+F6" w:hAnsi="CIDFont+F6" w:cs="CIDFont+F6"/>
                <w:sz w:val="20"/>
                <w:szCs w:val="20"/>
              </w:rPr>
            </w:pPr>
          </w:p>
          <w:p w14:paraId="760B09BF" w14:textId="35683AD4" w:rsidR="007D7AA2" w:rsidRPr="003A184B" w:rsidRDefault="007D7AA2" w:rsidP="007D7AA2">
            <w:pPr>
              <w:autoSpaceDE w:val="0"/>
              <w:autoSpaceDN w:val="0"/>
              <w:adjustRightInd w:val="0"/>
              <w:rPr>
                <w:rFonts w:ascii="CIDFont+F6" w:hAnsi="CIDFont+F6" w:cs="CIDFont+F6"/>
                <w:sz w:val="20"/>
                <w:szCs w:val="20"/>
              </w:rPr>
            </w:pPr>
          </w:p>
          <w:p w14:paraId="7AA5B054" w14:textId="66C13FF9" w:rsidR="00B93CD1" w:rsidRPr="003A184B" w:rsidRDefault="00B93CD1" w:rsidP="007D7AA2">
            <w:pPr>
              <w:autoSpaceDE w:val="0"/>
              <w:autoSpaceDN w:val="0"/>
              <w:adjustRightInd w:val="0"/>
              <w:rPr>
                <w:rFonts w:ascii="CIDFont+F6" w:hAnsi="CIDFont+F6" w:cs="CIDFont+F6"/>
                <w:sz w:val="20"/>
                <w:szCs w:val="20"/>
              </w:rPr>
            </w:pPr>
            <w:r w:rsidRPr="003A184B">
              <w:rPr>
                <w:rFonts w:ascii="CIDFont+F6" w:hAnsi="CIDFont+F6" w:cs="CIDFont+F6"/>
                <w:sz w:val="20"/>
                <w:szCs w:val="20"/>
              </w:rPr>
              <w:t xml:space="preserve">EIES/PGES, </w:t>
            </w:r>
            <w:r w:rsidRPr="00165946">
              <w:rPr>
                <w:rFonts w:ascii="CIDFont+F6" w:hAnsi="CIDFont+F6" w:cs="CIDFont+F6"/>
                <w:sz w:val="20"/>
                <w:szCs w:val="20"/>
              </w:rPr>
              <w:t>PR</w:t>
            </w:r>
            <w:r w:rsidRPr="003A184B">
              <w:rPr>
                <w:rFonts w:ascii="CIDFont+F6" w:hAnsi="CIDFont+F6" w:cs="CIDFont+F6"/>
                <w:sz w:val="20"/>
                <w:szCs w:val="20"/>
              </w:rPr>
              <w:t>, plans d'action SEA/SH requis, plan de gestion de la santé et de la sécurité élaborés, consultés, adoptés et rendus publics pendant la phase de préparation du sous-projet et avant le début des travaux, et mis en œuvre pendant toute la durée du sous-</w:t>
            </w:r>
            <w:proofErr w:type="gramStart"/>
            <w:r w:rsidRPr="003A184B">
              <w:rPr>
                <w:rFonts w:ascii="CIDFont+F6" w:hAnsi="CIDFont+F6" w:cs="CIDFont+F6"/>
                <w:sz w:val="20"/>
                <w:szCs w:val="20"/>
              </w:rPr>
              <w:t>projet .</w:t>
            </w:r>
            <w:proofErr w:type="gramEnd"/>
          </w:p>
          <w:p w14:paraId="70AB4861" w14:textId="77777777" w:rsidR="00B93CD1" w:rsidRPr="003A184B" w:rsidRDefault="00B93CD1" w:rsidP="00CD3091">
            <w:pPr>
              <w:keepLines/>
              <w:widowControl w:val="0"/>
              <w:jc w:val="both"/>
              <w:rPr>
                <w:rFonts w:ascii="CIDFont+F6" w:hAnsi="CIDFont+F6" w:cs="CIDFont+F6"/>
                <w:sz w:val="20"/>
                <w:szCs w:val="20"/>
              </w:rPr>
            </w:pPr>
          </w:p>
          <w:p w14:paraId="4DA2D943" w14:textId="5A790B1F" w:rsidR="00B93CD1" w:rsidRPr="003A184B" w:rsidRDefault="00B93CD1" w:rsidP="00CD3091">
            <w:pPr>
              <w:keepLines/>
              <w:widowControl w:val="0"/>
              <w:jc w:val="both"/>
              <w:rPr>
                <w:rFonts w:cstheme="minorHAnsi"/>
                <w:sz w:val="20"/>
                <w:szCs w:val="20"/>
              </w:rPr>
            </w:pPr>
            <w:r w:rsidRPr="003A184B">
              <w:rPr>
                <w:rFonts w:cstheme="minorHAnsi"/>
                <w:sz w:val="20"/>
                <w:szCs w:val="20"/>
              </w:rPr>
              <w:t>Au plus tard 45 jours après la date d'entrée en vigueur et respectés tout au long de la mise en œuvre du projet.</w:t>
            </w:r>
          </w:p>
        </w:tc>
        <w:tc>
          <w:tcPr>
            <w:tcW w:w="3690" w:type="dxa"/>
          </w:tcPr>
          <w:p w14:paraId="51891DB1" w14:textId="77777777" w:rsidR="009570B2" w:rsidRPr="003A184B" w:rsidRDefault="009570B2" w:rsidP="007D7AA2">
            <w:pPr>
              <w:keepLines/>
              <w:widowControl w:val="0"/>
              <w:rPr>
                <w:rFonts w:cstheme="minorHAnsi"/>
                <w:sz w:val="20"/>
                <w:szCs w:val="20"/>
              </w:rPr>
            </w:pPr>
          </w:p>
          <w:p w14:paraId="4DA2D944" w14:textId="109BF85E" w:rsidR="007D7AA2" w:rsidRPr="003A184B" w:rsidRDefault="007D7AA2" w:rsidP="007D7AA2">
            <w:pPr>
              <w:keepLines/>
              <w:widowControl w:val="0"/>
              <w:rPr>
                <w:rFonts w:cstheme="minorHAnsi"/>
                <w:sz w:val="20"/>
                <w:szCs w:val="20"/>
              </w:rPr>
            </w:pPr>
            <w:r w:rsidRPr="003A184B">
              <w:rPr>
                <w:rFonts w:cstheme="minorHAnsi"/>
                <w:sz w:val="20"/>
                <w:szCs w:val="20"/>
              </w:rPr>
              <w:t>MAPMDREF/UGP</w:t>
            </w:r>
            <w:r w:rsidR="00B52F52" w:rsidRPr="003A184B">
              <w:rPr>
                <w:rFonts w:cstheme="minorHAnsi"/>
                <w:sz w:val="20"/>
                <w:szCs w:val="20"/>
              </w:rPr>
              <w:t>C/</w:t>
            </w:r>
            <w:proofErr w:type="spellStart"/>
            <w:r w:rsidR="00B52F52" w:rsidRPr="003A184B">
              <w:rPr>
                <w:rFonts w:cstheme="minorHAnsi"/>
                <w:sz w:val="20"/>
                <w:szCs w:val="20"/>
              </w:rPr>
              <w:t>UGPRs</w:t>
            </w:r>
            <w:proofErr w:type="spellEnd"/>
            <w:r w:rsidRPr="003A184B">
              <w:rPr>
                <w:rFonts w:cstheme="minorHAnsi"/>
                <w:sz w:val="20"/>
                <w:szCs w:val="20"/>
              </w:rPr>
              <w:t>.</w:t>
            </w:r>
          </w:p>
        </w:tc>
      </w:tr>
      <w:tr w:rsidR="00502173" w:rsidRPr="003A184B" w14:paraId="4DA2D94B" w14:textId="77777777" w:rsidTr="00594521">
        <w:trPr>
          <w:cantSplit/>
          <w:trHeight w:val="20"/>
        </w:trPr>
        <w:tc>
          <w:tcPr>
            <w:tcW w:w="715" w:type="dxa"/>
          </w:tcPr>
          <w:p w14:paraId="4DA2D946" w14:textId="77777777" w:rsidR="00502173" w:rsidRPr="003A184B" w:rsidRDefault="00502173" w:rsidP="005D394E">
            <w:pPr>
              <w:keepLines/>
              <w:widowControl w:val="0"/>
              <w:jc w:val="center"/>
              <w:rPr>
                <w:rFonts w:cstheme="minorHAnsi"/>
                <w:sz w:val="20"/>
                <w:szCs w:val="20"/>
              </w:rPr>
            </w:pPr>
            <w:r w:rsidRPr="003A184B">
              <w:rPr>
                <w:sz w:val="20"/>
                <w:szCs w:val="20"/>
              </w:rPr>
              <w:lastRenderedPageBreak/>
              <w:t>1.4</w:t>
            </w:r>
          </w:p>
        </w:tc>
        <w:tc>
          <w:tcPr>
            <w:tcW w:w="6120" w:type="dxa"/>
          </w:tcPr>
          <w:p w14:paraId="4DA2D947" w14:textId="7D5BF0D4" w:rsidR="00502173" w:rsidRPr="003A184B" w:rsidRDefault="0074285F" w:rsidP="005D394E">
            <w:pPr>
              <w:keepLines/>
              <w:widowControl w:val="0"/>
              <w:rPr>
                <w:rFonts w:cstheme="minorHAnsi"/>
                <w:sz w:val="20"/>
                <w:szCs w:val="20"/>
              </w:rPr>
            </w:pPr>
            <w:r>
              <w:rPr>
                <w:b/>
                <w:color w:val="5B9BD5" w:themeColor="accent5"/>
                <w:sz w:val="20"/>
                <w:szCs w:val="20"/>
              </w:rPr>
              <w:t xml:space="preserve">ASSISTANCE TECHNIQUE </w:t>
            </w:r>
          </w:p>
          <w:p w14:paraId="20AFD4E8" w14:textId="77777777" w:rsidR="0074285F" w:rsidRDefault="0074285F" w:rsidP="00E52E94">
            <w:pPr>
              <w:autoSpaceDE w:val="0"/>
              <w:autoSpaceDN w:val="0"/>
              <w:adjustRightInd w:val="0"/>
              <w:jc w:val="both"/>
              <w:rPr>
                <w:rFonts w:ascii="CIDFont+F1" w:hAnsi="CIDFont+F1" w:cs="CIDFont+F1"/>
                <w:sz w:val="20"/>
                <w:szCs w:val="20"/>
              </w:rPr>
            </w:pPr>
            <w:r w:rsidRPr="0074285F">
              <w:rPr>
                <w:rFonts w:ascii="CIDFont+F1" w:hAnsi="CIDFont+F1" w:cs="CIDFont+F1"/>
                <w:sz w:val="20"/>
                <w:szCs w:val="20"/>
              </w:rPr>
              <w:t>Veiller à ce que les services de consultants, les études (y compris les études de faisabilité, le cas échéant), le renforcement des capacités, la formation et toute autre activité d'assistance technique dans le cadre du projet soient réalisés conformément à des termes de référence acceptables pour la Banque et conformes aux NES. S'assurer ensuite que les résultats de ces activités sont conformes aux termes de référence.</w:t>
            </w:r>
          </w:p>
          <w:p w14:paraId="2F5853FB" w14:textId="77777777" w:rsidR="0074285F" w:rsidRDefault="0074285F" w:rsidP="00E52E94">
            <w:pPr>
              <w:autoSpaceDE w:val="0"/>
              <w:autoSpaceDN w:val="0"/>
              <w:adjustRightInd w:val="0"/>
              <w:jc w:val="both"/>
              <w:rPr>
                <w:rFonts w:ascii="CIDFont+F1" w:hAnsi="CIDFont+F1" w:cs="CIDFont+F1"/>
                <w:sz w:val="20"/>
                <w:szCs w:val="20"/>
              </w:rPr>
            </w:pPr>
          </w:p>
          <w:p w14:paraId="4DA2D948" w14:textId="3A4BE43D" w:rsidR="0074285F" w:rsidRPr="0074285F" w:rsidRDefault="00FC51A0" w:rsidP="0074285F">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 xml:space="preserve">Si des contractants et des sous-traitants sont embauchés pour les activités ou sous-activités du projet, </w:t>
            </w:r>
            <w:r w:rsidR="00B52F52" w:rsidRPr="003A184B">
              <w:rPr>
                <w:rFonts w:cstheme="minorHAnsi"/>
                <w:sz w:val="20"/>
                <w:szCs w:val="20"/>
              </w:rPr>
              <w:t xml:space="preserve">les contractants intégreront </w:t>
            </w:r>
            <w:r w:rsidRPr="003A184B">
              <w:rPr>
                <w:rFonts w:ascii="CIDFont+F1" w:hAnsi="CIDFont+F1" w:cs="CIDFont+F1"/>
                <w:sz w:val="20"/>
                <w:szCs w:val="20"/>
              </w:rPr>
              <w:t>les aspects pertinents du PEES et du PGES</w:t>
            </w:r>
            <w:r w:rsidR="0074285F">
              <w:rPr>
                <w:rFonts w:ascii="CIDFont+F1" w:hAnsi="CIDFont+F1" w:cs="CIDFont+F1"/>
                <w:sz w:val="20"/>
                <w:szCs w:val="20"/>
              </w:rPr>
              <w:t xml:space="preserve"> </w:t>
            </w:r>
            <w:r w:rsidR="0074285F" w:rsidRPr="0074285F">
              <w:rPr>
                <w:rFonts w:cstheme="minorHAnsi"/>
                <w:sz w:val="20"/>
                <w:szCs w:val="20"/>
              </w:rPr>
              <w:t>dans le PGES-C</w:t>
            </w:r>
            <w:r w:rsidRPr="003A184B">
              <w:rPr>
                <w:rFonts w:ascii="CIDFont+F1" w:hAnsi="CIDFont+F1" w:cs="CIDFont+F1"/>
                <w:sz w:val="20"/>
                <w:szCs w:val="20"/>
              </w:rPr>
              <w:t>, y compris les documents et/ou plans environnementaux et sociaux pertinents tels que le Plan d’Action VBG/EAS/HS du PGES, et le plan de gestion de sécurité, ainsi que les PGMO, dans les spécifications environnementale et sociale dans des documents de passation des marchés avec les prestataires. Par la suite, s’assurer que les prestataires se conforment aux spécifications de leurs contrats respectifs.</w:t>
            </w:r>
          </w:p>
        </w:tc>
        <w:tc>
          <w:tcPr>
            <w:tcW w:w="3780" w:type="dxa"/>
          </w:tcPr>
          <w:p w14:paraId="67CA85B3" w14:textId="77777777" w:rsidR="00CD3091" w:rsidRPr="003A184B" w:rsidRDefault="00CD3091" w:rsidP="00E52E94">
            <w:pPr>
              <w:autoSpaceDE w:val="0"/>
              <w:autoSpaceDN w:val="0"/>
              <w:adjustRightInd w:val="0"/>
              <w:jc w:val="both"/>
              <w:rPr>
                <w:rFonts w:ascii="CIDFont+F6" w:hAnsi="CIDFont+F6" w:cs="CIDFont+F6"/>
                <w:sz w:val="20"/>
                <w:szCs w:val="20"/>
              </w:rPr>
            </w:pPr>
          </w:p>
          <w:p w14:paraId="4DA2D949" w14:textId="2B48EBE7" w:rsidR="00502173" w:rsidRPr="002A60C9" w:rsidRDefault="0074285F" w:rsidP="0074285F">
            <w:pPr>
              <w:autoSpaceDE w:val="0"/>
              <w:autoSpaceDN w:val="0"/>
              <w:adjustRightInd w:val="0"/>
              <w:jc w:val="both"/>
              <w:rPr>
                <w:rFonts w:ascii="CIDFont+F6" w:hAnsi="CIDFont+F6" w:cs="CIDFont+F6"/>
                <w:sz w:val="20"/>
                <w:szCs w:val="20"/>
              </w:rPr>
            </w:pPr>
            <w:r>
              <w:rPr>
                <w:rFonts w:ascii="CIDFont+F6" w:hAnsi="CIDFont+F6" w:cs="CIDFont+F6"/>
                <w:sz w:val="20"/>
                <w:szCs w:val="20"/>
              </w:rPr>
              <w:t>D</w:t>
            </w:r>
            <w:r w:rsidRPr="003A184B">
              <w:rPr>
                <w:rFonts w:ascii="CIDFont+F6" w:hAnsi="CIDFont+F6" w:cs="CIDFont+F6"/>
                <w:sz w:val="20"/>
                <w:szCs w:val="20"/>
              </w:rPr>
              <w:t xml:space="preserve">urant </w:t>
            </w:r>
            <w:r w:rsidR="00B52F52" w:rsidRPr="003A184B">
              <w:rPr>
                <w:rFonts w:ascii="CIDFont+F6" w:hAnsi="CIDFont+F6" w:cs="CIDFont+F6"/>
                <w:sz w:val="20"/>
                <w:szCs w:val="20"/>
              </w:rPr>
              <w:t xml:space="preserve">la mise en œuvre </w:t>
            </w:r>
            <w:r w:rsidR="00936CA0" w:rsidRPr="003A184B">
              <w:rPr>
                <w:rFonts w:ascii="CIDFont+F6" w:hAnsi="CIDFont+F6" w:cs="CIDFont+F6"/>
                <w:sz w:val="20"/>
                <w:szCs w:val="20"/>
              </w:rPr>
              <w:t>du Projet.</w:t>
            </w:r>
          </w:p>
        </w:tc>
        <w:tc>
          <w:tcPr>
            <w:tcW w:w="3690" w:type="dxa"/>
          </w:tcPr>
          <w:p w14:paraId="1BBFE363" w14:textId="77777777" w:rsidR="00CD3091" w:rsidRPr="003A184B" w:rsidRDefault="00CD3091" w:rsidP="005D394E">
            <w:pPr>
              <w:keepLines/>
              <w:widowControl w:val="0"/>
              <w:rPr>
                <w:rFonts w:cstheme="minorHAnsi"/>
                <w:sz w:val="20"/>
                <w:szCs w:val="20"/>
              </w:rPr>
            </w:pPr>
          </w:p>
          <w:p w14:paraId="25054D94" w14:textId="2E2A16F5" w:rsidR="00B52F52" w:rsidRPr="003A184B" w:rsidRDefault="00B52F52" w:rsidP="00B52F52">
            <w:pPr>
              <w:keepLines/>
              <w:widowControl w:val="0"/>
              <w:rPr>
                <w:rFonts w:cstheme="minorHAnsi"/>
                <w:sz w:val="20"/>
                <w:szCs w:val="20"/>
              </w:rPr>
            </w:pPr>
            <w:r w:rsidRPr="003A184B">
              <w:rPr>
                <w:rFonts w:cstheme="minorHAnsi"/>
                <w:sz w:val="20"/>
                <w:szCs w:val="20"/>
              </w:rPr>
              <w:t>UGPC/</w:t>
            </w:r>
            <w:proofErr w:type="spellStart"/>
            <w:r w:rsidRPr="003A184B">
              <w:rPr>
                <w:rFonts w:cstheme="minorHAnsi"/>
                <w:sz w:val="20"/>
                <w:szCs w:val="20"/>
              </w:rPr>
              <w:t>UGPRs</w:t>
            </w:r>
            <w:proofErr w:type="spellEnd"/>
            <w:r w:rsidRPr="003A184B">
              <w:rPr>
                <w:rFonts w:cstheme="minorHAnsi"/>
                <w:sz w:val="20"/>
                <w:szCs w:val="20"/>
              </w:rPr>
              <w:t xml:space="preserve">/ONCA </w:t>
            </w:r>
          </w:p>
          <w:p w14:paraId="4DA2D94A" w14:textId="2A285AEA" w:rsidR="00502173" w:rsidRPr="003A184B" w:rsidRDefault="00B52F52" w:rsidP="00B52F52">
            <w:pPr>
              <w:keepLines/>
              <w:widowControl w:val="0"/>
              <w:rPr>
                <w:rFonts w:cstheme="minorHAnsi"/>
                <w:sz w:val="20"/>
                <w:szCs w:val="20"/>
              </w:rPr>
            </w:pPr>
            <w:r w:rsidRPr="003A184B">
              <w:rPr>
                <w:rFonts w:cstheme="minorHAnsi"/>
                <w:sz w:val="20"/>
                <w:szCs w:val="20"/>
              </w:rPr>
              <w:t xml:space="preserve">Prestataires/fournisseurs de services </w:t>
            </w:r>
          </w:p>
        </w:tc>
      </w:tr>
      <w:tr w:rsidR="0074285F" w:rsidRPr="003A184B" w14:paraId="57581876" w14:textId="77777777" w:rsidTr="00594521">
        <w:trPr>
          <w:cantSplit/>
          <w:trHeight w:val="20"/>
        </w:trPr>
        <w:tc>
          <w:tcPr>
            <w:tcW w:w="715" w:type="dxa"/>
          </w:tcPr>
          <w:p w14:paraId="3CA4EC12" w14:textId="31730FA8" w:rsidR="0074285F" w:rsidRPr="003A184B" w:rsidRDefault="001E2BE9" w:rsidP="005D394E">
            <w:pPr>
              <w:keepLines/>
              <w:widowControl w:val="0"/>
              <w:jc w:val="center"/>
              <w:rPr>
                <w:sz w:val="20"/>
                <w:szCs w:val="20"/>
              </w:rPr>
            </w:pPr>
            <w:r>
              <w:rPr>
                <w:sz w:val="20"/>
                <w:szCs w:val="20"/>
              </w:rPr>
              <w:t>1.5</w:t>
            </w:r>
          </w:p>
        </w:tc>
        <w:tc>
          <w:tcPr>
            <w:tcW w:w="6120" w:type="dxa"/>
          </w:tcPr>
          <w:p w14:paraId="7F6C9545" w14:textId="50B461CF" w:rsidR="0074285F" w:rsidRPr="00165946" w:rsidRDefault="0074285F" w:rsidP="0074285F">
            <w:pPr>
              <w:keepLines/>
              <w:widowControl w:val="0"/>
              <w:rPr>
                <w:rFonts w:ascii="CIDFont+F6" w:hAnsi="CIDFont+F6" w:cs="CIDFont+F6"/>
                <w:sz w:val="20"/>
                <w:szCs w:val="20"/>
              </w:rPr>
            </w:pPr>
            <w:r w:rsidRPr="00165946">
              <w:rPr>
                <w:b/>
                <w:color w:val="5B9BD5" w:themeColor="accent5"/>
                <w:sz w:val="20"/>
                <w:szCs w:val="20"/>
              </w:rPr>
              <w:t>FINANCEMENT D'UNE RÉPONSE ÉVENTUELLE D'URGENCE</w:t>
            </w:r>
          </w:p>
          <w:p w14:paraId="03A78589" w14:textId="77777777" w:rsidR="0074285F" w:rsidRPr="00165946" w:rsidRDefault="0074285F" w:rsidP="0074285F">
            <w:pPr>
              <w:keepLines/>
              <w:widowControl w:val="0"/>
              <w:rPr>
                <w:rFonts w:ascii="CIDFont+F6" w:hAnsi="CIDFont+F6" w:cs="CIDFont+F6"/>
                <w:sz w:val="20"/>
                <w:szCs w:val="20"/>
              </w:rPr>
            </w:pPr>
          </w:p>
          <w:p w14:paraId="4CBA89D9" w14:textId="0BA72892" w:rsidR="0074285F" w:rsidRPr="00165946" w:rsidRDefault="0074285F" w:rsidP="0074285F">
            <w:pPr>
              <w:keepLines/>
              <w:widowControl w:val="0"/>
              <w:rPr>
                <w:rFonts w:ascii="CIDFont+F6" w:hAnsi="CIDFont+F6" w:cs="CIDFont+F6"/>
                <w:sz w:val="20"/>
                <w:szCs w:val="20"/>
              </w:rPr>
            </w:pPr>
            <w:r w:rsidRPr="00165946">
              <w:rPr>
                <w:rFonts w:ascii="CIDFont+F6" w:hAnsi="CIDFont+F6" w:cs="CIDFont+F6"/>
                <w:sz w:val="20"/>
                <w:szCs w:val="20"/>
              </w:rPr>
              <w:t>a) Veiller à ce que le manuel du CERC comprenne une description des dispositions d'évaluation et de gestion ESSS, y compris l'addendum CGES-CERC pour la mise en œuvre de la composante d'intervention d'urgence contingente, conformément aux NES.</w:t>
            </w:r>
          </w:p>
          <w:p w14:paraId="2B4722B3" w14:textId="77777777" w:rsidR="0074285F" w:rsidRPr="00165946" w:rsidRDefault="0074285F" w:rsidP="0074285F">
            <w:pPr>
              <w:keepLines/>
              <w:widowControl w:val="0"/>
              <w:rPr>
                <w:rFonts w:ascii="CIDFont+F6" w:hAnsi="CIDFont+F6" w:cs="CIDFont+F6"/>
                <w:sz w:val="20"/>
                <w:szCs w:val="20"/>
              </w:rPr>
            </w:pPr>
          </w:p>
          <w:p w14:paraId="1E015259" w14:textId="5FE71C01" w:rsidR="0074285F" w:rsidRPr="00165946" w:rsidDel="0074285F" w:rsidRDefault="0074285F" w:rsidP="0074285F">
            <w:pPr>
              <w:keepLines/>
              <w:widowControl w:val="0"/>
              <w:rPr>
                <w:rFonts w:ascii="CIDFont+F6" w:hAnsi="CIDFont+F6" w:cs="CIDFont+F6"/>
                <w:sz w:val="20"/>
                <w:szCs w:val="20"/>
              </w:rPr>
            </w:pPr>
            <w:r w:rsidRPr="00165946">
              <w:rPr>
                <w:rFonts w:ascii="CIDFont+F6" w:hAnsi="CIDFont+F6" w:cs="CIDFont+F6"/>
                <w:sz w:val="20"/>
                <w:szCs w:val="20"/>
              </w:rPr>
              <w:t>b) Adopter tous les instruments environnementaux et sociaux (E&amp;S) qui pourraient être nécessaires pour les activités relevant de la composante d'intervention d'urgence contingente du projet, conformément au manuel de la CERC et à l'addendum CGES- CERC et aux NES, puis mettre en œuvre les mesures et actions requises en vertu desdits instruments E&amp;S, dans les délais spécifiés dans lesdits instruments E&amp;S.</w:t>
            </w:r>
          </w:p>
        </w:tc>
        <w:tc>
          <w:tcPr>
            <w:tcW w:w="3780" w:type="dxa"/>
          </w:tcPr>
          <w:p w14:paraId="39198B2F" w14:textId="07BD8AAE" w:rsidR="0074285F" w:rsidRPr="0074285F" w:rsidRDefault="0074285F" w:rsidP="0074285F">
            <w:pPr>
              <w:autoSpaceDE w:val="0"/>
              <w:autoSpaceDN w:val="0"/>
              <w:adjustRightInd w:val="0"/>
              <w:jc w:val="both"/>
              <w:rPr>
                <w:rFonts w:ascii="CIDFont+F6" w:hAnsi="CIDFont+F6" w:cs="CIDFont+F6"/>
                <w:sz w:val="20"/>
                <w:szCs w:val="20"/>
              </w:rPr>
            </w:pPr>
            <w:r w:rsidRPr="0074285F">
              <w:rPr>
                <w:rFonts w:ascii="CIDFont+F6" w:hAnsi="CIDFont+F6" w:cs="CIDFont+F6"/>
                <w:sz w:val="20"/>
                <w:szCs w:val="20"/>
              </w:rPr>
              <w:t>a) L'adoption du manuel CERC et de l'addendum</w:t>
            </w:r>
            <w:r>
              <w:rPr>
                <w:rFonts w:ascii="CIDFont+F6" w:hAnsi="CIDFont+F6" w:cs="CIDFont+F6"/>
                <w:sz w:val="20"/>
                <w:szCs w:val="20"/>
              </w:rPr>
              <w:t xml:space="preserve"> CGES-</w:t>
            </w:r>
            <w:r w:rsidRPr="0074285F">
              <w:rPr>
                <w:rFonts w:ascii="CIDFont+F6" w:hAnsi="CIDFont+F6" w:cs="CIDFont+F6"/>
                <w:sz w:val="20"/>
                <w:szCs w:val="20"/>
              </w:rPr>
              <w:t>CER</w:t>
            </w:r>
            <w:r>
              <w:rPr>
                <w:rFonts w:ascii="CIDFont+F6" w:hAnsi="CIDFont+F6" w:cs="CIDFont+F6"/>
                <w:sz w:val="20"/>
                <w:szCs w:val="20"/>
              </w:rPr>
              <w:t>C</w:t>
            </w:r>
            <w:r w:rsidRPr="0074285F">
              <w:rPr>
                <w:rFonts w:ascii="CIDFont+F6" w:hAnsi="CIDFont+F6" w:cs="CIDFont+F6"/>
                <w:sz w:val="20"/>
                <w:szCs w:val="20"/>
              </w:rPr>
              <w:t xml:space="preserve"> dans une forme et </w:t>
            </w:r>
            <w:proofErr w:type="gramStart"/>
            <w:r w:rsidRPr="0074285F">
              <w:rPr>
                <w:rFonts w:ascii="CIDFont+F6" w:hAnsi="CIDFont+F6" w:cs="CIDFont+F6"/>
                <w:sz w:val="20"/>
                <w:szCs w:val="20"/>
              </w:rPr>
              <w:t>un fond acceptables</w:t>
            </w:r>
            <w:proofErr w:type="gramEnd"/>
            <w:r w:rsidRPr="0074285F">
              <w:rPr>
                <w:rFonts w:ascii="CIDFont+F6" w:hAnsi="CIDFont+F6" w:cs="CIDFont+F6"/>
                <w:sz w:val="20"/>
                <w:szCs w:val="20"/>
              </w:rPr>
              <w:t xml:space="preserve"> pour la Banque est une condition de retrait en vertu de la section </w:t>
            </w:r>
            <w:r w:rsidR="000F7375">
              <w:rPr>
                <w:sz w:val="20"/>
                <w:szCs w:val="20"/>
              </w:rPr>
              <w:t>III.B(d) (ii)</w:t>
            </w:r>
            <w:r w:rsidRPr="0074285F">
              <w:rPr>
                <w:rFonts w:ascii="CIDFont+F6" w:hAnsi="CIDFont+F6" w:cs="CIDFont+F6"/>
                <w:sz w:val="20"/>
                <w:szCs w:val="20"/>
              </w:rPr>
              <w:t xml:space="preserve"> de l'annexe 2 de l'accord de prêt pour le projet.</w:t>
            </w:r>
          </w:p>
          <w:p w14:paraId="23FD4C8A" w14:textId="77777777" w:rsidR="0074285F" w:rsidRPr="0074285F" w:rsidRDefault="0074285F" w:rsidP="0074285F">
            <w:pPr>
              <w:autoSpaceDE w:val="0"/>
              <w:autoSpaceDN w:val="0"/>
              <w:adjustRightInd w:val="0"/>
              <w:jc w:val="both"/>
              <w:rPr>
                <w:rFonts w:ascii="CIDFont+F6" w:hAnsi="CIDFont+F6" w:cs="CIDFont+F6"/>
                <w:sz w:val="20"/>
                <w:szCs w:val="20"/>
              </w:rPr>
            </w:pPr>
          </w:p>
          <w:p w14:paraId="33C0D1B6" w14:textId="476E0207" w:rsidR="0074285F" w:rsidRPr="003A184B" w:rsidRDefault="0074285F" w:rsidP="0074285F">
            <w:pPr>
              <w:autoSpaceDE w:val="0"/>
              <w:autoSpaceDN w:val="0"/>
              <w:adjustRightInd w:val="0"/>
              <w:jc w:val="both"/>
              <w:rPr>
                <w:rFonts w:ascii="CIDFont+F6" w:hAnsi="CIDFont+F6" w:cs="CIDFont+F6"/>
                <w:sz w:val="20"/>
                <w:szCs w:val="20"/>
              </w:rPr>
            </w:pPr>
            <w:r w:rsidRPr="0074285F">
              <w:rPr>
                <w:rFonts w:ascii="CIDFont+F6" w:hAnsi="CIDFont+F6" w:cs="CIDFont+F6"/>
                <w:sz w:val="20"/>
                <w:szCs w:val="20"/>
              </w:rPr>
              <w:t>b) Adopter tout instrument E&amp;S requis et l'inclure dans le processus d'appel d'offres respectif, le cas échéant, et dans tous les cas, avant la réalisation des activités pertinentes du projet pour lesquelles l'instrument E&amp;S est requis. Mettre en œuvre les instruments E&amp;S conformément à leurs termes, tout au long de la mise en œuvre du projet.</w:t>
            </w:r>
          </w:p>
        </w:tc>
        <w:tc>
          <w:tcPr>
            <w:tcW w:w="3690" w:type="dxa"/>
          </w:tcPr>
          <w:p w14:paraId="073A017F" w14:textId="0F18CD63" w:rsidR="0074285F" w:rsidRPr="003A184B" w:rsidRDefault="0074285F" w:rsidP="005D394E">
            <w:pPr>
              <w:keepLines/>
              <w:widowControl w:val="0"/>
              <w:rPr>
                <w:rFonts w:cstheme="minorHAnsi"/>
                <w:sz w:val="20"/>
                <w:szCs w:val="20"/>
              </w:rPr>
            </w:pPr>
            <w:r>
              <w:rPr>
                <w:rFonts w:cstheme="minorHAnsi"/>
                <w:sz w:val="20"/>
                <w:szCs w:val="20"/>
              </w:rPr>
              <w:t>MAPMDREF</w:t>
            </w:r>
          </w:p>
        </w:tc>
      </w:tr>
    </w:tbl>
    <w:p w14:paraId="4DA2D94C" w14:textId="77777777" w:rsidR="008521C9" w:rsidRPr="003A184B" w:rsidRDefault="008521C9"/>
    <w:p w14:paraId="4DA2D94D" w14:textId="51B3C526" w:rsidR="00191C2B" w:rsidRDefault="00191C2B"/>
    <w:p w14:paraId="789F18BF" w14:textId="0A853E57" w:rsidR="0074285F" w:rsidRDefault="0074285F"/>
    <w:p w14:paraId="34B55943" w14:textId="2C2E2806" w:rsidR="0074285F" w:rsidRDefault="0074285F"/>
    <w:p w14:paraId="01C22901" w14:textId="10ABAF08" w:rsidR="0074285F" w:rsidRDefault="0074285F"/>
    <w:p w14:paraId="25668B12" w14:textId="69F1EEC1" w:rsidR="0074285F" w:rsidRDefault="0074285F"/>
    <w:p w14:paraId="01614B51" w14:textId="77777777" w:rsidR="0074285F" w:rsidRPr="003A184B" w:rsidRDefault="0074285F"/>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3A184B" w14:paraId="4DA2D94F" w14:textId="77777777" w:rsidTr="00FA0A88">
        <w:trPr>
          <w:cantSplit/>
          <w:trHeight w:val="458"/>
        </w:trPr>
        <w:tc>
          <w:tcPr>
            <w:tcW w:w="14305" w:type="dxa"/>
            <w:gridSpan w:val="4"/>
            <w:shd w:val="clear" w:color="auto" w:fill="F4B083" w:themeFill="accent2" w:themeFillTint="99"/>
          </w:tcPr>
          <w:p w14:paraId="4DA2D94E" w14:textId="77777777" w:rsidR="00502173" w:rsidRPr="003A184B" w:rsidRDefault="00502173" w:rsidP="005D394E">
            <w:pPr>
              <w:keepLines/>
              <w:widowControl w:val="0"/>
              <w:rPr>
                <w:rFonts w:cstheme="minorHAnsi"/>
                <w:sz w:val="20"/>
                <w:szCs w:val="20"/>
              </w:rPr>
            </w:pPr>
            <w:r w:rsidRPr="003A184B">
              <w:rPr>
                <w:b/>
                <w:sz w:val="20"/>
                <w:szCs w:val="20"/>
              </w:rPr>
              <w:lastRenderedPageBreak/>
              <w:t>NES n</w:t>
            </w:r>
            <w:r w:rsidRPr="003A184B">
              <w:rPr>
                <w:b/>
                <w:sz w:val="20"/>
                <w:szCs w:val="20"/>
                <w:vertAlign w:val="superscript"/>
              </w:rPr>
              <w:t>o</w:t>
            </w:r>
            <w:r w:rsidRPr="003A184B">
              <w:rPr>
                <w:b/>
                <w:sz w:val="20"/>
                <w:szCs w:val="20"/>
              </w:rPr>
              <w:t xml:space="preserve"> 2 : EMPLOI ET CONDITIONS DE TRAVAIL  </w:t>
            </w:r>
          </w:p>
        </w:tc>
      </w:tr>
      <w:tr w:rsidR="00502173" w:rsidRPr="003A184B" w14:paraId="4DA2D958" w14:textId="77777777" w:rsidTr="00594521">
        <w:trPr>
          <w:cantSplit/>
          <w:trHeight w:val="20"/>
        </w:trPr>
        <w:tc>
          <w:tcPr>
            <w:tcW w:w="715" w:type="dxa"/>
          </w:tcPr>
          <w:p w14:paraId="4DA2D950" w14:textId="77777777" w:rsidR="00502173" w:rsidRPr="003A184B" w:rsidRDefault="00502173" w:rsidP="005D394E">
            <w:pPr>
              <w:keepLines/>
              <w:widowControl w:val="0"/>
              <w:jc w:val="center"/>
              <w:rPr>
                <w:rFonts w:cstheme="minorHAnsi"/>
                <w:sz w:val="20"/>
                <w:szCs w:val="20"/>
              </w:rPr>
            </w:pPr>
            <w:r w:rsidRPr="003A184B">
              <w:rPr>
                <w:sz w:val="20"/>
                <w:szCs w:val="20"/>
              </w:rPr>
              <w:t>2.1</w:t>
            </w:r>
          </w:p>
        </w:tc>
        <w:tc>
          <w:tcPr>
            <w:tcW w:w="6120" w:type="dxa"/>
          </w:tcPr>
          <w:p w14:paraId="4DA2D951" w14:textId="77777777" w:rsidR="00502173" w:rsidRPr="003A184B" w:rsidRDefault="00502173" w:rsidP="005D394E">
            <w:pPr>
              <w:keepLines/>
              <w:widowControl w:val="0"/>
              <w:rPr>
                <w:rFonts w:cstheme="minorHAnsi"/>
                <w:b/>
                <w:color w:val="5B9BD5" w:themeColor="accent5"/>
                <w:sz w:val="20"/>
                <w:szCs w:val="20"/>
              </w:rPr>
            </w:pPr>
            <w:r w:rsidRPr="003A184B">
              <w:rPr>
                <w:b/>
                <w:color w:val="5B9BD5" w:themeColor="accent5"/>
                <w:sz w:val="20"/>
                <w:szCs w:val="20"/>
              </w:rPr>
              <w:t>PROCÉDURES DE GESTION DE LA MAIN-D’ŒUVRE</w:t>
            </w:r>
          </w:p>
          <w:p w14:paraId="3637D82C" w14:textId="4C84D738" w:rsidR="0079173A" w:rsidRPr="003A184B" w:rsidRDefault="009628CB" w:rsidP="00B52F52">
            <w:pPr>
              <w:keepLines/>
              <w:widowControl w:val="0"/>
              <w:jc w:val="both"/>
              <w:rPr>
                <w:rFonts w:ascii="CIDFont+F1" w:hAnsi="CIDFont+F1" w:cs="CIDFont+F1"/>
                <w:sz w:val="20"/>
                <w:szCs w:val="20"/>
              </w:rPr>
            </w:pPr>
            <w:r w:rsidRPr="003A184B">
              <w:rPr>
                <w:rFonts w:ascii="CIDFont+F1" w:hAnsi="CIDFont+F1" w:cs="CIDFont+F1"/>
                <w:sz w:val="20"/>
                <w:szCs w:val="20"/>
              </w:rPr>
              <w:t>Le Projet sera exécuté conformément aux exigences applicables de la</w:t>
            </w:r>
            <w:r w:rsidR="00674D1B" w:rsidRPr="003A184B">
              <w:rPr>
                <w:rFonts w:ascii="CIDFont+F1" w:hAnsi="CIDFont+F1" w:cs="CIDFont+F1"/>
                <w:sz w:val="20"/>
                <w:szCs w:val="20"/>
              </w:rPr>
              <w:t xml:space="preserve"> </w:t>
            </w:r>
            <w:r w:rsidRPr="003A184B">
              <w:rPr>
                <w:rFonts w:ascii="CIDFont+F1" w:hAnsi="CIDFont+F1" w:cs="CIDFont+F1"/>
                <w:sz w:val="20"/>
                <w:szCs w:val="20"/>
              </w:rPr>
              <w:t>NES 2</w:t>
            </w:r>
            <w:r w:rsidR="00674D1B" w:rsidRPr="003A184B">
              <w:rPr>
                <w:rFonts w:ascii="CIDFont+F1" w:hAnsi="CIDFont+F1" w:cs="CIDFont+F1"/>
                <w:sz w:val="20"/>
                <w:szCs w:val="20"/>
              </w:rPr>
              <w:t xml:space="preserve"> et du code de travail marocain</w:t>
            </w:r>
            <w:r w:rsidRPr="003A184B">
              <w:rPr>
                <w:rFonts w:ascii="CIDFont+F1" w:hAnsi="CIDFont+F1" w:cs="CIDFont+F1"/>
                <w:sz w:val="20"/>
                <w:szCs w:val="20"/>
              </w:rPr>
              <w:t xml:space="preserve">, d'une manière acceptable pour </w:t>
            </w:r>
            <w:r w:rsidR="00674D1B" w:rsidRPr="003A184B">
              <w:rPr>
                <w:rFonts w:ascii="CIDFont+F1" w:hAnsi="CIDFont+F1" w:cs="CIDFont+F1"/>
                <w:sz w:val="20"/>
                <w:szCs w:val="20"/>
              </w:rPr>
              <w:t>la Banque</w:t>
            </w:r>
            <w:r w:rsidRPr="003A184B">
              <w:rPr>
                <w:rFonts w:ascii="CIDFont+F1" w:hAnsi="CIDFont+F1" w:cs="CIDFont+F1"/>
                <w:sz w:val="20"/>
                <w:szCs w:val="20"/>
              </w:rPr>
              <w:t xml:space="preserve">, y compris </w:t>
            </w:r>
            <w:r w:rsidR="00B52F52" w:rsidRPr="003A184B">
              <w:rPr>
                <w:rFonts w:ascii="CIDFont+F1" w:hAnsi="CIDFont+F1" w:cs="CIDFont+F1"/>
                <w:sz w:val="20"/>
                <w:szCs w:val="20"/>
              </w:rPr>
              <w:t>par le biais</w:t>
            </w:r>
            <w:r w:rsidRPr="003A184B">
              <w:rPr>
                <w:rFonts w:ascii="CIDFont+F1" w:hAnsi="CIDFont+F1" w:cs="CIDFont+F1"/>
                <w:sz w:val="20"/>
                <w:szCs w:val="20"/>
              </w:rPr>
              <w:t xml:space="preserve">, entre autres, de la préparation et la mise en </w:t>
            </w:r>
            <w:r w:rsidR="00674D1B" w:rsidRPr="003A184B">
              <w:rPr>
                <w:rFonts w:ascii="CIDFont+F1" w:hAnsi="CIDFont+F1" w:cs="CIDFont+F1"/>
                <w:sz w:val="20"/>
                <w:szCs w:val="20"/>
              </w:rPr>
              <w:t>œuvre</w:t>
            </w:r>
            <w:r w:rsidRPr="003A184B">
              <w:rPr>
                <w:rFonts w:ascii="CIDFont+F1" w:hAnsi="CIDFont+F1" w:cs="CIDFont+F1"/>
                <w:sz w:val="20"/>
                <w:szCs w:val="20"/>
              </w:rPr>
              <w:t xml:space="preserve"> de Procédures</w:t>
            </w:r>
            <w:r w:rsidR="00674D1B" w:rsidRPr="003A184B">
              <w:rPr>
                <w:rFonts w:ascii="CIDFont+F1" w:hAnsi="CIDFont+F1" w:cs="CIDFont+F1"/>
                <w:sz w:val="20"/>
                <w:szCs w:val="20"/>
              </w:rPr>
              <w:t xml:space="preserve"> </w:t>
            </w:r>
            <w:r w:rsidRPr="003A184B">
              <w:rPr>
                <w:rFonts w:ascii="CIDFont+F1" w:hAnsi="CIDFont+F1" w:cs="CIDFont+F1"/>
                <w:sz w:val="20"/>
                <w:szCs w:val="20"/>
              </w:rPr>
              <w:t xml:space="preserve">de Gestion de la </w:t>
            </w:r>
            <w:r w:rsidR="00826F5C" w:rsidRPr="003A184B">
              <w:rPr>
                <w:rFonts w:ascii="CIDFont+F1" w:hAnsi="CIDFont+F1" w:cs="CIDFont+F1"/>
                <w:sz w:val="20"/>
                <w:szCs w:val="20"/>
              </w:rPr>
              <w:t>Main-d’œuvre</w:t>
            </w:r>
            <w:r w:rsidRPr="003A184B">
              <w:rPr>
                <w:rFonts w:ascii="CIDFont+F1" w:hAnsi="CIDFont+F1" w:cs="CIDFont+F1"/>
                <w:sz w:val="20"/>
                <w:szCs w:val="20"/>
              </w:rPr>
              <w:t xml:space="preserve"> (PGMO)</w:t>
            </w:r>
            <w:r w:rsidR="00B52F52" w:rsidRPr="003A184B">
              <w:rPr>
                <w:rFonts w:ascii="CIDFont+F1" w:hAnsi="CIDFont+F1" w:cs="CIDFont+F1"/>
                <w:sz w:val="20"/>
                <w:szCs w:val="20"/>
              </w:rPr>
              <w:t xml:space="preserve">, </w:t>
            </w:r>
            <w:r w:rsidRPr="003A184B">
              <w:rPr>
                <w:rFonts w:ascii="CIDFont+F1" w:hAnsi="CIDFont+F1" w:cs="CIDFont+F1"/>
                <w:sz w:val="20"/>
                <w:szCs w:val="20"/>
              </w:rPr>
              <w:t xml:space="preserve">la préparation, </w:t>
            </w:r>
            <w:r w:rsidR="00B52F52" w:rsidRPr="003A184B">
              <w:rPr>
                <w:rFonts w:ascii="CIDFont+F1" w:hAnsi="CIDFont+F1" w:cs="CIDFont+F1"/>
                <w:sz w:val="20"/>
                <w:szCs w:val="20"/>
              </w:rPr>
              <w:t>l’</w:t>
            </w:r>
            <w:r w:rsidRPr="003A184B">
              <w:rPr>
                <w:rFonts w:ascii="CIDFont+F1" w:hAnsi="CIDFont+F1" w:cs="CIDFont+F1"/>
                <w:sz w:val="20"/>
                <w:szCs w:val="20"/>
              </w:rPr>
              <w:t xml:space="preserve">adoption et </w:t>
            </w:r>
            <w:r w:rsidR="00B52F52" w:rsidRPr="003A184B">
              <w:rPr>
                <w:rFonts w:ascii="CIDFont+F1" w:hAnsi="CIDFont+F1" w:cs="CIDFont+F1"/>
                <w:sz w:val="20"/>
                <w:szCs w:val="20"/>
              </w:rPr>
              <w:t xml:space="preserve">la </w:t>
            </w:r>
            <w:r w:rsidRPr="003A184B">
              <w:rPr>
                <w:rFonts w:ascii="CIDFont+F1" w:hAnsi="CIDFont+F1" w:cs="CIDFont+F1"/>
                <w:sz w:val="20"/>
                <w:szCs w:val="20"/>
              </w:rPr>
              <w:t xml:space="preserve">mise en </w:t>
            </w:r>
            <w:r w:rsidR="00826F5C" w:rsidRPr="003A184B">
              <w:rPr>
                <w:rFonts w:ascii="CIDFont+F1" w:hAnsi="CIDFont+F1" w:cs="CIDFont+F1"/>
                <w:sz w:val="20"/>
                <w:szCs w:val="20"/>
              </w:rPr>
              <w:t>œuvre</w:t>
            </w:r>
            <w:r w:rsidRPr="003A184B">
              <w:rPr>
                <w:rFonts w:ascii="CIDFont+F1" w:hAnsi="CIDFont+F1" w:cs="CIDFont+F1"/>
                <w:sz w:val="20"/>
                <w:szCs w:val="20"/>
              </w:rPr>
              <w:t xml:space="preserve"> de mesures appropriées de</w:t>
            </w:r>
            <w:r w:rsidR="00826F5C" w:rsidRPr="003A184B">
              <w:rPr>
                <w:rFonts w:ascii="CIDFont+F1" w:hAnsi="CIDFont+F1" w:cs="CIDFont+F1"/>
                <w:sz w:val="20"/>
                <w:szCs w:val="20"/>
              </w:rPr>
              <w:t xml:space="preserve"> </w:t>
            </w:r>
            <w:r w:rsidRPr="003A184B">
              <w:rPr>
                <w:rFonts w:ascii="CIDFont+F1" w:hAnsi="CIDFont+F1" w:cs="CIDFont+F1"/>
                <w:sz w:val="20"/>
                <w:szCs w:val="20"/>
              </w:rPr>
              <w:t>santé et de sécurité au travail (y compris les mesures de préparation et</w:t>
            </w:r>
            <w:r w:rsidR="00826F5C" w:rsidRPr="003A184B">
              <w:rPr>
                <w:rFonts w:ascii="CIDFont+F1" w:hAnsi="CIDFont+F1" w:cs="CIDFont+F1"/>
                <w:sz w:val="20"/>
                <w:szCs w:val="20"/>
              </w:rPr>
              <w:t xml:space="preserve"> </w:t>
            </w:r>
            <w:r w:rsidRPr="003A184B">
              <w:rPr>
                <w:rFonts w:ascii="CIDFont+F1" w:hAnsi="CIDFont+F1" w:cs="CIDFont+F1"/>
                <w:sz w:val="20"/>
                <w:szCs w:val="20"/>
              </w:rPr>
              <w:t>de réponse aux situations d'urgence), la mise en place de dispositions de</w:t>
            </w:r>
            <w:r w:rsidR="00826F5C" w:rsidRPr="003A184B">
              <w:rPr>
                <w:rFonts w:ascii="CIDFont+F1" w:hAnsi="CIDFont+F1" w:cs="CIDFont+F1"/>
                <w:sz w:val="20"/>
                <w:szCs w:val="20"/>
              </w:rPr>
              <w:t xml:space="preserve"> </w:t>
            </w:r>
            <w:r w:rsidRPr="003A184B">
              <w:rPr>
                <w:rFonts w:ascii="CIDFont+F1" w:hAnsi="CIDFont+F1" w:cs="CIDFont+F1"/>
                <w:sz w:val="20"/>
                <w:szCs w:val="20"/>
              </w:rPr>
              <w:t>gestion des plaintes pour les travailleurs du Projet, l'intégration des</w:t>
            </w:r>
            <w:r w:rsidR="00826F5C" w:rsidRPr="003A184B">
              <w:rPr>
                <w:rFonts w:ascii="CIDFont+F1" w:hAnsi="CIDFont+F1" w:cs="CIDFont+F1"/>
                <w:sz w:val="20"/>
                <w:szCs w:val="20"/>
              </w:rPr>
              <w:t xml:space="preserve"> </w:t>
            </w:r>
            <w:r w:rsidRPr="003A184B">
              <w:rPr>
                <w:rFonts w:ascii="CIDFont+F1" w:hAnsi="CIDFont+F1" w:cs="CIDFont+F1"/>
                <w:sz w:val="20"/>
                <w:szCs w:val="20"/>
              </w:rPr>
              <w:t xml:space="preserve">exigences relatives à la </w:t>
            </w:r>
            <w:r w:rsidR="00826F5C" w:rsidRPr="003A184B">
              <w:rPr>
                <w:rFonts w:ascii="CIDFont+F1" w:hAnsi="CIDFont+F1" w:cs="CIDFont+F1"/>
                <w:sz w:val="20"/>
                <w:szCs w:val="20"/>
              </w:rPr>
              <w:t>main-d’œuvre</w:t>
            </w:r>
            <w:r w:rsidRPr="003A184B">
              <w:rPr>
                <w:rFonts w:ascii="CIDFont+F1" w:hAnsi="CIDFont+F1" w:cs="CIDFont+F1"/>
                <w:sz w:val="20"/>
                <w:szCs w:val="20"/>
              </w:rPr>
              <w:t xml:space="preserve"> dans les spécifications des</w:t>
            </w:r>
            <w:r w:rsidR="00826F5C" w:rsidRPr="003A184B">
              <w:rPr>
                <w:rFonts w:ascii="CIDFont+F1" w:hAnsi="CIDFont+F1" w:cs="CIDFont+F1"/>
                <w:sz w:val="20"/>
                <w:szCs w:val="20"/>
              </w:rPr>
              <w:t xml:space="preserve"> </w:t>
            </w:r>
            <w:r w:rsidRPr="003A184B">
              <w:rPr>
                <w:rFonts w:ascii="CIDFont+F1" w:hAnsi="CIDFont+F1" w:cs="CIDFont+F1"/>
                <w:sz w:val="20"/>
                <w:szCs w:val="20"/>
              </w:rPr>
              <w:t>documents de passation des marchés et des contrats avec les</w:t>
            </w:r>
            <w:r w:rsidR="00625025" w:rsidRPr="003A184B">
              <w:rPr>
                <w:rFonts w:ascii="CIDFont+F1" w:hAnsi="CIDFont+F1" w:cs="CIDFont+F1"/>
                <w:sz w:val="20"/>
                <w:szCs w:val="20"/>
              </w:rPr>
              <w:t xml:space="preserve"> </w:t>
            </w:r>
            <w:r w:rsidRPr="003A184B">
              <w:rPr>
                <w:rFonts w:ascii="CIDFont+F1" w:hAnsi="CIDFont+F1" w:cs="CIDFont+F1"/>
                <w:sz w:val="20"/>
                <w:szCs w:val="20"/>
              </w:rPr>
              <w:t>entrepreneurs et les sociétés de contrôle. Cela comprend également les</w:t>
            </w:r>
            <w:r w:rsidR="00625025" w:rsidRPr="003A184B">
              <w:rPr>
                <w:rFonts w:ascii="CIDFont+F1" w:hAnsi="CIDFont+F1" w:cs="CIDFont+F1"/>
                <w:sz w:val="20"/>
                <w:szCs w:val="20"/>
              </w:rPr>
              <w:t xml:space="preserve"> </w:t>
            </w:r>
            <w:r w:rsidRPr="003A184B">
              <w:rPr>
                <w:rFonts w:ascii="CIDFont+F1" w:hAnsi="CIDFont+F1" w:cs="CIDFont+F1"/>
                <w:sz w:val="20"/>
                <w:szCs w:val="20"/>
              </w:rPr>
              <w:t>exigences relatives à l'EAS/HS telles que stipulées dans le PGMO.</w:t>
            </w:r>
          </w:p>
          <w:p w14:paraId="4DA2D954" w14:textId="4228E722" w:rsidR="009628CB" w:rsidRPr="003A184B" w:rsidRDefault="009628CB" w:rsidP="005D394E">
            <w:pPr>
              <w:keepLines/>
              <w:widowControl w:val="0"/>
              <w:rPr>
                <w:rFonts w:cstheme="minorHAnsi"/>
                <w:sz w:val="20"/>
                <w:szCs w:val="20"/>
              </w:rPr>
            </w:pPr>
          </w:p>
        </w:tc>
        <w:tc>
          <w:tcPr>
            <w:tcW w:w="3780" w:type="dxa"/>
          </w:tcPr>
          <w:p w14:paraId="5D07A613" w14:textId="55D17799" w:rsidR="006922E4" w:rsidRPr="003A184B" w:rsidRDefault="006922E4" w:rsidP="006922E4">
            <w:pPr>
              <w:keepLines/>
              <w:widowControl w:val="0"/>
            </w:pPr>
          </w:p>
          <w:p w14:paraId="35A685F0" w14:textId="0903D8A0" w:rsidR="00674D1B" w:rsidRPr="003A184B" w:rsidRDefault="00674D1B" w:rsidP="00E52E94">
            <w:pPr>
              <w:autoSpaceDE w:val="0"/>
              <w:autoSpaceDN w:val="0"/>
              <w:adjustRightInd w:val="0"/>
              <w:rPr>
                <w:rFonts w:ascii="CIDFont+F6" w:hAnsi="CIDFont+F6" w:cs="CIDFont+F6"/>
                <w:sz w:val="20"/>
                <w:szCs w:val="20"/>
              </w:rPr>
            </w:pPr>
            <w:r w:rsidRPr="003A184B">
              <w:rPr>
                <w:rFonts w:ascii="CIDFont+F6" w:hAnsi="CIDFont+F6" w:cs="CIDFont+F6"/>
                <w:sz w:val="20"/>
                <w:szCs w:val="20"/>
              </w:rPr>
              <w:t>Le PGMO sera maintenu tout au long de la</w:t>
            </w:r>
            <w:r w:rsidR="00625025" w:rsidRPr="003A184B">
              <w:rPr>
                <w:rFonts w:ascii="CIDFont+F6" w:hAnsi="CIDFont+F6" w:cs="CIDFont+F6"/>
                <w:sz w:val="20"/>
                <w:szCs w:val="20"/>
              </w:rPr>
              <w:t xml:space="preserve"> </w:t>
            </w:r>
            <w:r w:rsidRPr="003A184B">
              <w:rPr>
                <w:rFonts w:ascii="CIDFont+F6" w:hAnsi="CIDFont+F6" w:cs="CIDFont+F6"/>
                <w:sz w:val="20"/>
                <w:szCs w:val="20"/>
              </w:rPr>
              <w:t xml:space="preserve">mise en </w:t>
            </w:r>
            <w:r w:rsidR="00625025" w:rsidRPr="003A184B">
              <w:rPr>
                <w:rFonts w:ascii="CIDFont+F6" w:hAnsi="CIDFont+F6" w:cs="CIDFont+F6"/>
                <w:sz w:val="20"/>
                <w:szCs w:val="20"/>
              </w:rPr>
              <w:t>œuvre</w:t>
            </w:r>
            <w:r w:rsidRPr="003A184B">
              <w:rPr>
                <w:rFonts w:ascii="CIDFont+F6" w:hAnsi="CIDFont+F6" w:cs="CIDFont+F6"/>
                <w:sz w:val="20"/>
                <w:szCs w:val="20"/>
              </w:rPr>
              <w:t xml:space="preserve"> du projet.</w:t>
            </w:r>
          </w:p>
          <w:p w14:paraId="01D6E539" w14:textId="77777777" w:rsidR="00B52F52" w:rsidRPr="003A184B" w:rsidRDefault="00B52F52" w:rsidP="00E52E94">
            <w:pPr>
              <w:autoSpaceDE w:val="0"/>
              <w:autoSpaceDN w:val="0"/>
              <w:adjustRightInd w:val="0"/>
              <w:rPr>
                <w:rFonts w:ascii="CIDFont+F6" w:hAnsi="CIDFont+F6" w:cs="CIDFont+F6"/>
                <w:sz w:val="20"/>
                <w:szCs w:val="20"/>
              </w:rPr>
            </w:pPr>
          </w:p>
          <w:p w14:paraId="0EEC572E" w14:textId="77777777" w:rsidR="00B52F52" w:rsidRPr="003A184B" w:rsidRDefault="00B52F52" w:rsidP="00E52E94">
            <w:pPr>
              <w:autoSpaceDE w:val="0"/>
              <w:autoSpaceDN w:val="0"/>
              <w:adjustRightInd w:val="0"/>
              <w:rPr>
                <w:rFonts w:ascii="CIDFont+F6" w:hAnsi="CIDFont+F6" w:cs="CIDFont+F6"/>
                <w:sz w:val="20"/>
                <w:szCs w:val="20"/>
              </w:rPr>
            </w:pPr>
          </w:p>
          <w:p w14:paraId="77931E56" w14:textId="77777777" w:rsidR="00B52F52" w:rsidRPr="003A184B" w:rsidRDefault="00B52F52" w:rsidP="00E52E94">
            <w:pPr>
              <w:autoSpaceDE w:val="0"/>
              <w:autoSpaceDN w:val="0"/>
              <w:adjustRightInd w:val="0"/>
              <w:rPr>
                <w:rFonts w:ascii="CIDFont+F6" w:hAnsi="CIDFont+F6" w:cs="CIDFont+F6"/>
                <w:sz w:val="20"/>
                <w:szCs w:val="20"/>
              </w:rPr>
            </w:pPr>
          </w:p>
          <w:p w14:paraId="2E193DFE" w14:textId="77777777" w:rsidR="00B52F52" w:rsidRPr="003A184B" w:rsidRDefault="00B52F52" w:rsidP="00E52E94">
            <w:pPr>
              <w:autoSpaceDE w:val="0"/>
              <w:autoSpaceDN w:val="0"/>
              <w:adjustRightInd w:val="0"/>
              <w:rPr>
                <w:rFonts w:ascii="CIDFont+F6" w:hAnsi="CIDFont+F6" w:cs="CIDFont+F6"/>
                <w:sz w:val="20"/>
                <w:szCs w:val="20"/>
              </w:rPr>
            </w:pPr>
          </w:p>
          <w:p w14:paraId="5E0160ED" w14:textId="77777777" w:rsidR="00B52F52" w:rsidRPr="003A184B" w:rsidRDefault="00B52F52" w:rsidP="00E52E94">
            <w:pPr>
              <w:autoSpaceDE w:val="0"/>
              <w:autoSpaceDN w:val="0"/>
              <w:adjustRightInd w:val="0"/>
              <w:rPr>
                <w:rFonts w:ascii="CIDFont+F6" w:hAnsi="CIDFont+F6" w:cs="CIDFont+F6"/>
                <w:sz w:val="20"/>
                <w:szCs w:val="20"/>
              </w:rPr>
            </w:pPr>
          </w:p>
          <w:p w14:paraId="4DA2D956" w14:textId="1F414DA5" w:rsidR="00B52F52" w:rsidRPr="003A184B" w:rsidRDefault="00B52F52" w:rsidP="00E52E94">
            <w:pPr>
              <w:autoSpaceDE w:val="0"/>
              <w:autoSpaceDN w:val="0"/>
              <w:adjustRightInd w:val="0"/>
              <w:rPr>
                <w:rFonts w:eastAsia="Times New Roman" w:cstheme="minorHAnsi"/>
                <w:bCs/>
                <w:sz w:val="20"/>
                <w:szCs w:val="20"/>
              </w:rPr>
            </w:pPr>
          </w:p>
        </w:tc>
        <w:tc>
          <w:tcPr>
            <w:tcW w:w="3690" w:type="dxa"/>
          </w:tcPr>
          <w:p w14:paraId="60384CBB" w14:textId="77777777" w:rsidR="00CD3091" w:rsidRPr="003A184B" w:rsidRDefault="00191C2B" w:rsidP="005D394E">
            <w:pPr>
              <w:keepLines/>
              <w:widowControl w:val="0"/>
              <w:rPr>
                <w:rFonts w:cstheme="minorHAnsi"/>
                <w:sz w:val="20"/>
                <w:szCs w:val="20"/>
              </w:rPr>
            </w:pPr>
            <w:r w:rsidRPr="003A184B">
              <w:rPr>
                <w:rFonts w:cstheme="minorHAnsi"/>
                <w:sz w:val="20"/>
                <w:szCs w:val="20"/>
              </w:rPr>
              <w:t xml:space="preserve"> </w:t>
            </w:r>
          </w:p>
          <w:p w14:paraId="4DA2D957" w14:textId="18A3FCC5" w:rsidR="00502173" w:rsidRPr="003A184B" w:rsidRDefault="00DF7430" w:rsidP="005D394E">
            <w:pPr>
              <w:keepLines/>
              <w:widowControl w:val="0"/>
              <w:rPr>
                <w:rFonts w:cstheme="minorHAnsi"/>
                <w:sz w:val="20"/>
                <w:szCs w:val="20"/>
              </w:rPr>
            </w:pPr>
            <w:r w:rsidRPr="003A184B">
              <w:rPr>
                <w:rFonts w:cstheme="minorHAnsi"/>
                <w:sz w:val="20"/>
                <w:szCs w:val="20"/>
              </w:rPr>
              <w:t>MAPMDREF/UGP</w:t>
            </w:r>
            <w:r w:rsidR="00057C33" w:rsidRPr="003A184B">
              <w:rPr>
                <w:rFonts w:cstheme="minorHAnsi"/>
                <w:sz w:val="20"/>
                <w:szCs w:val="20"/>
              </w:rPr>
              <w:t>C/</w:t>
            </w:r>
            <w:proofErr w:type="spellStart"/>
            <w:r w:rsidR="00057C33" w:rsidRPr="003A184B">
              <w:rPr>
                <w:rFonts w:cstheme="minorHAnsi"/>
                <w:sz w:val="20"/>
                <w:szCs w:val="20"/>
              </w:rPr>
              <w:t>UGPRs</w:t>
            </w:r>
            <w:proofErr w:type="spellEnd"/>
            <w:r w:rsidR="00273BD1" w:rsidRPr="003A184B">
              <w:rPr>
                <w:rFonts w:cstheme="minorHAnsi"/>
                <w:sz w:val="20"/>
                <w:szCs w:val="20"/>
              </w:rPr>
              <w:t>.</w:t>
            </w:r>
          </w:p>
        </w:tc>
      </w:tr>
      <w:tr w:rsidR="00057C33" w:rsidRPr="003A184B" w14:paraId="4DA2D967" w14:textId="77777777" w:rsidTr="00594521">
        <w:trPr>
          <w:cantSplit/>
          <w:trHeight w:val="20"/>
        </w:trPr>
        <w:tc>
          <w:tcPr>
            <w:tcW w:w="715" w:type="dxa"/>
          </w:tcPr>
          <w:p w14:paraId="4DA2D959" w14:textId="77777777" w:rsidR="00057C33" w:rsidRPr="003A184B" w:rsidRDefault="00057C33" w:rsidP="00057C33">
            <w:pPr>
              <w:keepLines/>
              <w:widowControl w:val="0"/>
              <w:jc w:val="center"/>
              <w:rPr>
                <w:rFonts w:cstheme="minorHAnsi"/>
                <w:sz w:val="20"/>
                <w:szCs w:val="20"/>
              </w:rPr>
            </w:pPr>
            <w:r w:rsidRPr="003A184B">
              <w:rPr>
                <w:sz w:val="20"/>
                <w:szCs w:val="20"/>
              </w:rPr>
              <w:t>2.2</w:t>
            </w:r>
          </w:p>
        </w:tc>
        <w:tc>
          <w:tcPr>
            <w:tcW w:w="6120" w:type="dxa"/>
          </w:tcPr>
          <w:p w14:paraId="4DA2D95A" w14:textId="77777777" w:rsidR="00057C33" w:rsidRPr="003A184B" w:rsidRDefault="00057C33" w:rsidP="00057C33">
            <w:pPr>
              <w:pStyle w:val="MainText"/>
              <w:keepLines/>
              <w:widowControl w:val="0"/>
              <w:spacing w:after="0" w:line="240" w:lineRule="auto"/>
              <w:jc w:val="both"/>
              <w:rPr>
                <w:rFonts w:asciiTheme="minorHAnsi" w:hAnsiTheme="minorHAnsi" w:cstheme="minorHAnsi"/>
                <w:szCs w:val="20"/>
              </w:rPr>
            </w:pPr>
            <w:r w:rsidRPr="003A184B">
              <w:rPr>
                <w:rFonts w:asciiTheme="minorHAnsi" w:hAnsiTheme="minorHAnsi"/>
                <w:b/>
                <w:color w:val="5B9BD5" w:themeColor="accent5"/>
                <w:szCs w:val="20"/>
              </w:rPr>
              <w:t>MÉCANISME DE GESTION DES PLAINTES DES TRAVAILLEURS DU PROJET</w:t>
            </w:r>
            <w:r w:rsidRPr="003A184B">
              <w:rPr>
                <w:rFonts w:asciiTheme="minorHAnsi" w:hAnsiTheme="minorHAnsi"/>
                <w:szCs w:val="20"/>
              </w:rPr>
              <w:t xml:space="preserve"> </w:t>
            </w:r>
          </w:p>
          <w:p w14:paraId="28D2C1DC" w14:textId="1543A518" w:rsidR="00057C33" w:rsidRPr="003A184B" w:rsidRDefault="00057C33" w:rsidP="00057C33">
            <w:pPr>
              <w:autoSpaceDE w:val="0"/>
              <w:autoSpaceDN w:val="0"/>
              <w:adjustRightInd w:val="0"/>
              <w:rPr>
                <w:rFonts w:ascii="CIDFont+F1" w:hAnsi="CIDFont+F1" w:cs="CIDFont+F1"/>
                <w:sz w:val="20"/>
                <w:szCs w:val="20"/>
              </w:rPr>
            </w:pPr>
            <w:r w:rsidRPr="003A184B">
              <w:rPr>
                <w:rFonts w:ascii="CIDFont+F1" w:hAnsi="CIDFont+F1" w:cs="CIDFont+F1"/>
                <w:sz w:val="20"/>
                <w:szCs w:val="20"/>
              </w:rPr>
              <w:t>L'Emprunteur doit s'assurer que l'UGPC/</w:t>
            </w:r>
            <w:proofErr w:type="spellStart"/>
            <w:r w:rsidRPr="003A184B">
              <w:rPr>
                <w:rFonts w:ascii="CIDFont+F1" w:hAnsi="CIDFont+F1" w:cs="CIDFont+F1"/>
                <w:sz w:val="20"/>
                <w:szCs w:val="20"/>
              </w:rPr>
              <w:t>UGPRs</w:t>
            </w:r>
            <w:proofErr w:type="spellEnd"/>
            <w:r w:rsidRPr="003A184B">
              <w:rPr>
                <w:rFonts w:ascii="CIDFont+F1" w:hAnsi="CIDFont+F1" w:cs="CIDFont+F1"/>
                <w:sz w:val="20"/>
                <w:szCs w:val="20"/>
              </w:rPr>
              <w:t>, établissent, maintiennent et mettent en place un mécanisme de gestion des plaintes (MGP) pour les travailleurs du projet, tel que décrit dans le PGMO et conforme à la NES2 et à la législation du travail marocaine en veillant à ce que les procédures soient élaborées pour traiter les doléances liées au travail et les plaintes SEA/SH de manière confidentielle, éthique, non discriminatoire et centrée sur les survivants et pour garantir</w:t>
            </w:r>
            <w:r w:rsidR="00165946">
              <w:rPr>
                <w:rFonts w:ascii="CIDFont+F1" w:hAnsi="CIDFont+F1" w:cs="CIDFont+F1"/>
                <w:sz w:val="20"/>
                <w:szCs w:val="20"/>
              </w:rPr>
              <w:t xml:space="preserve"> </w:t>
            </w:r>
            <w:r w:rsidRPr="003A184B">
              <w:rPr>
                <w:rFonts w:ascii="CIDFont+F1" w:hAnsi="CIDFont+F1" w:cs="CIDFont+F1"/>
                <w:sz w:val="20"/>
                <w:szCs w:val="20"/>
              </w:rPr>
              <w:t>l'orientation de tout survivant vers des services de soins de qualité.</w:t>
            </w:r>
          </w:p>
          <w:p w14:paraId="17F942B8" w14:textId="77777777" w:rsidR="00057C33" w:rsidRPr="003A184B" w:rsidRDefault="00057C33" w:rsidP="00057C33">
            <w:pPr>
              <w:autoSpaceDE w:val="0"/>
              <w:autoSpaceDN w:val="0"/>
              <w:adjustRightInd w:val="0"/>
              <w:rPr>
                <w:rFonts w:ascii="CIDFont+F1" w:hAnsi="CIDFont+F1" w:cs="CIDFont+F1"/>
                <w:sz w:val="20"/>
                <w:szCs w:val="20"/>
              </w:rPr>
            </w:pPr>
          </w:p>
          <w:p w14:paraId="4DA2D964" w14:textId="426A9D21" w:rsidR="00057C33" w:rsidRPr="00165946" w:rsidRDefault="00057C33" w:rsidP="00165946">
            <w:pPr>
              <w:jc w:val="both"/>
              <w:rPr>
                <w:rFonts w:ascii="CIDFont+F1" w:hAnsi="CIDFont+F1" w:cs="CIDFont+F1"/>
                <w:sz w:val="20"/>
                <w:szCs w:val="20"/>
              </w:rPr>
            </w:pPr>
            <w:r w:rsidRPr="003A184B">
              <w:rPr>
                <w:bCs/>
                <w:sz w:val="20"/>
                <w:szCs w:val="20"/>
              </w:rPr>
              <w:t>L'Emprunteur</w:t>
            </w:r>
            <w:r w:rsidRPr="003A184B">
              <w:rPr>
                <w:rFonts w:ascii="CIDFont+F1" w:hAnsi="CIDFont+F1" w:cs="CIDFont+F1"/>
                <w:sz w:val="20"/>
                <w:szCs w:val="20"/>
              </w:rPr>
              <w:t xml:space="preserve"> s’assurera que les travailleurs des entreprises et des sous-traitants qui feront recours à ce mécanisme de gestion des plaintes ne feront l’objet d’aucune forme de discrimination ou de représailles de la part des employeurs.</w:t>
            </w:r>
          </w:p>
        </w:tc>
        <w:tc>
          <w:tcPr>
            <w:tcW w:w="3780" w:type="dxa"/>
          </w:tcPr>
          <w:p w14:paraId="5418B93D" w14:textId="77777777" w:rsidR="00057C33" w:rsidRPr="003A184B" w:rsidRDefault="00057C33" w:rsidP="00057C33">
            <w:pPr>
              <w:autoSpaceDE w:val="0"/>
              <w:autoSpaceDN w:val="0"/>
              <w:adjustRightInd w:val="0"/>
              <w:jc w:val="both"/>
              <w:rPr>
                <w:rFonts w:ascii="CIDFont+F1" w:hAnsi="CIDFont+F1" w:cs="CIDFont+F1"/>
                <w:sz w:val="20"/>
                <w:szCs w:val="20"/>
              </w:rPr>
            </w:pPr>
          </w:p>
          <w:p w14:paraId="59E268E6" w14:textId="1EE69ECA" w:rsidR="00057C33" w:rsidRPr="003A184B" w:rsidRDefault="00057C33" w:rsidP="00057C33">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Au plus tard 30 jours après la date d'entrée en vigueur, mais avant l'embauche de tout travailleur du projet, puis maintenu pendant la mise en œuvre du projet</w:t>
            </w:r>
          </w:p>
          <w:p w14:paraId="55732B9E" w14:textId="77777777" w:rsidR="00057C33" w:rsidRPr="003A184B" w:rsidRDefault="00057C33" w:rsidP="00057C33">
            <w:pPr>
              <w:autoSpaceDE w:val="0"/>
              <w:autoSpaceDN w:val="0"/>
              <w:adjustRightInd w:val="0"/>
              <w:jc w:val="both"/>
              <w:rPr>
                <w:rFonts w:ascii="CIDFont+F1" w:hAnsi="CIDFont+F1" w:cs="CIDFont+F1"/>
                <w:sz w:val="20"/>
                <w:szCs w:val="20"/>
              </w:rPr>
            </w:pPr>
          </w:p>
          <w:p w14:paraId="182EB136" w14:textId="77777777" w:rsidR="00057C33" w:rsidRPr="003A184B" w:rsidRDefault="00057C33" w:rsidP="00057C33">
            <w:pPr>
              <w:autoSpaceDE w:val="0"/>
              <w:autoSpaceDN w:val="0"/>
              <w:adjustRightInd w:val="0"/>
              <w:jc w:val="both"/>
              <w:rPr>
                <w:rFonts w:ascii="CIDFont+F1" w:hAnsi="CIDFont+F1" w:cs="CIDFont+F1"/>
                <w:sz w:val="20"/>
                <w:szCs w:val="20"/>
              </w:rPr>
            </w:pPr>
          </w:p>
          <w:p w14:paraId="0F12BFFE" w14:textId="77777777" w:rsidR="00057C33" w:rsidRPr="003A184B" w:rsidRDefault="00057C33" w:rsidP="00057C33">
            <w:pPr>
              <w:autoSpaceDE w:val="0"/>
              <w:autoSpaceDN w:val="0"/>
              <w:adjustRightInd w:val="0"/>
              <w:jc w:val="both"/>
              <w:rPr>
                <w:rFonts w:ascii="CIDFont+F1" w:hAnsi="CIDFont+F1" w:cs="CIDFont+F1"/>
                <w:sz w:val="20"/>
                <w:szCs w:val="20"/>
              </w:rPr>
            </w:pPr>
          </w:p>
          <w:p w14:paraId="35A8CA01" w14:textId="77777777" w:rsidR="00057C33" w:rsidRPr="003A184B" w:rsidRDefault="00057C33" w:rsidP="00057C33">
            <w:pPr>
              <w:autoSpaceDE w:val="0"/>
              <w:autoSpaceDN w:val="0"/>
              <w:adjustRightInd w:val="0"/>
              <w:jc w:val="both"/>
              <w:rPr>
                <w:rFonts w:ascii="CIDFont+F1" w:hAnsi="CIDFont+F1" w:cs="CIDFont+F1"/>
                <w:sz w:val="20"/>
                <w:szCs w:val="20"/>
              </w:rPr>
            </w:pPr>
          </w:p>
          <w:p w14:paraId="52B26856" w14:textId="77777777" w:rsidR="00057C33" w:rsidRPr="003A184B" w:rsidRDefault="00057C33" w:rsidP="00057C33">
            <w:pPr>
              <w:autoSpaceDE w:val="0"/>
              <w:autoSpaceDN w:val="0"/>
              <w:adjustRightInd w:val="0"/>
              <w:jc w:val="both"/>
              <w:rPr>
                <w:rFonts w:ascii="CIDFont+F1" w:hAnsi="CIDFont+F1" w:cs="CIDFont+F1"/>
                <w:sz w:val="20"/>
                <w:szCs w:val="20"/>
              </w:rPr>
            </w:pPr>
          </w:p>
          <w:p w14:paraId="4DA2D965" w14:textId="1CF3CDCD" w:rsidR="00057C33" w:rsidRPr="00807005" w:rsidRDefault="00057C33" w:rsidP="00057C33">
            <w:pPr>
              <w:autoSpaceDE w:val="0"/>
              <w:autoSpaceDN w:val="0"/>
              <w:adjustRightInd w:val="0"/>
              <w:jc w:val="both"/>
              <w:rPr>
                <w:rFonts w:ascii="CIDFont+F1" w:hAnsi="CIDFont+F1" w:cs="CIDFont+F1"/>
                <w:sz w:val="20"/>
                <w:szCs w:val="20"/>
              </w:rPr>
            </w:pPr>
          </w:p>
        </w:tc>
        <w:tc>
          <w:tcPr>
            <w:tcW w:w="3690" w:type="dxa"/>
          </w:tcPr>
          <w:p w14:paraId="0325E8F3" w14:textId="77777777" w:rsidR="00057C33" w:rsidRPr="003A184B" w:rsidRDefault="00057C33" w:rsidP="00057C33">
            <w:pPr>
              <w:keepLines/>
              <w:widowControl w:val="0"/>
              <w:rPr>
                <w:rFonts w:cstheme="minorHAnsi"/>
                <w:sz w:val="20"/>
                <w:szCs w:val="20"/>
              </w:rPr>
            </w:pPr>
            <w:r w:rsidRPr="003A184B">
              <w:rPr>
                <w:rFonts w:cstheme="minorHAnsi"/>
                <w:sz w:val="20"/>
                <w:szCs w:val="20"/>
              </w:rPr>
              <w:t xml:space="preserve"> </w:t>
            </w:r>
          </w:p>
          <w:p w14:paraId="4DA2D966" w14:textId="5204CB30" w:rsidR="00057C33" w:rsidRPr="003A184B" w:rsidRDefault="00057C33" w:rsidP="00057C33">
            <w:pPr>
              <w:autoSpaceDE w:val="0"/>
              <w:autoSpaceDN w:val="0"/>
              <w:adjustRightInd w:val="0"/>
              <w:jc w:val="both"/>
              <w:rPr>
                <w:rFonts w:ascii="CIDFont+F1" w:hAnsi="CIDFont+F1" w:cs="CIDFont+F1"/>
                <w:sz w:val="20"/>
                <w:szCs w:val="20"/>
              </w:rPr>
            </w:pPr>
            <w:r w:rsidRPr="003A184B">
              <w:rPr>
                <w:rFonts w:cstheme="minorHAnsi"/>
                <w:sz w:val="20"/>
                <w:szCs w:val="20"/>
              </w:rPr>
              <w:t>UGPC/</w:t>
            </w:r>
            <w:proofErr w:type="spellStart"/>
            <w:r w:rsidRPr="003A184B">
              <w:rPr>
                <w:rFonts w:cstheme="minorHAnsi"/>
                <w:sz w:val="20"/>
                <w:szCs w:val="20"/>
              </w:rPr>
              <w:t>UGPRs</w:t>
            </w:r>
            <w:proofErr w:type="spellEnd"/>
            <w:r w:rsidRPr="003A184B">
              <w:rPr>
                <w:rFonts w:cstheme="minorHAnsi"/>
                <w:sz w:val="20"/>
                <w:szCs w:val="20"/>
              </w:rPr>
              <w:t>/ONCA</w:t>
            </w:r>
          </w:p>
        </w:tc>
      </w:tr>
      <w:tr w:rsidR="00057C33" w:rsidRPr="003A184B" w14:paraId="4DA2D97A" w14:textId="77777777" w:rsidTr="00594521">
        <w:trPr>
          <w:cantSplit/>
          <w:trHeight w:val="20"/>
        </w:trPr>
        <w:tc>
          <w:tcPr>
            <w:tcW w:w="715" w:type="dxa"/>
          </w:tcPr>
          <w:p w14:paraId="4DA2D968" w14:textId="77777777" w:rsidR="00057C33" w:rsidRPr="003A184B" w:rsidRDefault="00057C33" w:rsidP="00057C33">
            <w:pPr>
              <w:keepLines/>
              <w:widowControl w:val="0"/>
              <w:jc w:val="center"/>
              <w:rPr>
                <w:rFonts w:cstheme="minorHAnsi"/>
                <w:sz w:val="20"/>
                <w:szCs w:val="20"/>
              </w:rPr>
            </w:pPr>
            <w:r w:rsidRPr="003A184B">
              <w:rPr>
                <w:sz w:val="20"/>
                <w:szCs w:val="20"/>
              </w:rPr>
              <w:lastRenderedPageBreak/>
              <w:t>2.3</w:t>
            </w:r>
          </w:p>
        </w:tc>
        <w:tc>
          <w:tcPr>
            <w:tcW w:w="6120" w:type="dxa"/>
          </w:tcPr>
          <w:p w14:paraId="5F2C7F4A" w14:textId="75B8C136" w:rsidR="002E1C96" w:rsidRPr="003A184B" w:rsidRDefault="00057C33" w:rsidP="002E1C96">
            <w:pPr>
              <w:keepLines/>
              <w:widowControl w:val="0"/>
              <w:jc w:val="both"/>
              <w:rPr>
                <w:rFonts w:cstheme="minorHAnsi"/>
                <w:sz w:val="20"/>
                <w:szCs w:val="20"/>
              </w:rPr>
            </w:pPr>
            <w:r w:rsidRPr="003A184B">
              <w:rPr>
                <w:b/>
                <w:color w:val="5B9BD5" w:themeColor="accent5"/>
                <w:sz w:val="20"/>
                <w:szCs w:val="20"/>
              </w:rPr>
              <w:t>MESURES RELATIVES À LA SANTÉ ET LA SÉCURITÉ AU TRAVAIL (SST)</w:t>
            </w:r>
          </w:p>
          <w:p w14:paraId="6B803447" w14:textId="6DC9E73B" w:rsidR="00057C33" w:rsidRPr="003A184B" w:rsidRDefault="002E1C96" w:rsidP="00057C33">
            <w:pPr>
              <w:autoSpaceDE w:val="0"/>
              <w:autoSpaceDN w:val="0"/>
              <w:adjustRightInd w:val="0"/>
              <w:rPr>
                <w:rFonts w:ascii="CIDFont+F1" w:hAnsi="CIDFont+F1" w:cs="CIDFont+F1"/>
                <w:sz w:val="20"/>
                <w:szCs w:val="20"/>
              </w:rPr>
            </w:pPr>
            <w:r w:rsidRPr="003A184B">
              <w:rPr>
                <w:rFonts w:ascii="CIDFont+F1" w:hAnsi="CIDFont+F1" w:cs="CIDFont+F1"/>
                <w:sz w:val="20"/>
                <w:szCs w:val="20"/>
              </w:rPr>
              <w:t>L'Emprunteur doit s'assurer que toutes les parties prenantes (y compris les fournisseurs/prestataires de services du Projet) élaborent et mettent en œuvre des mesures de santé et de sécurité au travail (SST), y compris des mesures d'atténuation des risques de VBG/EAS/SH, conformément aux exigences de la NES2, et aux clauses relatives à la santé et de sécurité au travail (SST) spécifiées dans le CGES et toute autre mesure de SST recommandée par le PGES spécifique au sous-projet.</w:t>
            </w:r>
          </w:p>
          <w:p w14:paraId="6DC114EF" w14:textId="77777777" w:rsidR="002E1C96" w:rsidRPr="003A184B" w:rsidRDefault="002E1C96" w:rsidP="00057C33">
            <w:pPr>
              <w:autoSpaceDE w:val="0"/>
              <w:autoSpaceDN w:val="0"/>
              <w:adjustRightInd w:val="0"/>
              <w:rPr>
                <w:rFonts w:ascii="CIDFont+F1" w:hAnsi="CIDFont+F1" w:cs="CIDFont+F1"/>
                <w:sz w:val="20"/>
                <w:szCs w:val="20"/>
              </w:rPr>
            </w:pPr>
          </w:p>
          <w:p w14:paraId="19907674" w14:textId="19762203" w:rsidR="00057C33" w:rsidRPr="003A184B" w:rsidRDefault="00057C33" w:rsidP="00057C33">
            <w:pPr>
              <w:autoSpaceDE w:val="0"/>
              <w:autoSpaceDN w:val="0"/>
              <w:adjustRightInd w:val="0"/>
              <w:rPr>
                <w:rFonts w:ascii="CIDFont+F1" w:hAnsi="CIDFont+F1" w:cs="CIDFont+F1"/>
                <w:sz w:val="20"/>
                <w:szCs w:val="20"/>
              </w:rPr>
            </w:pPr>
            <w:r w:rsidRPr="003A184B">
              <w:rPr>
                <w:rFonts w:ascii="CIDFont+F1" w:hAnsi="CIDFont+F1" w:cs="CIDFont+F1"/>
                <w:sz w:val="20"/>
                <w:szCs w:val="20"/>
              </w:rPr>
              <w:t xml:space="preserve">Ces mesures seront </w:t>
            </w:r>
            <w:r w:rsidR="002E1C96" w:rsidRPr="003A184B">
              <w:rPr>
                <w:rFonts w:ascii="CIDFont+F1" w:hAnsi="CIDFont+F1" w:cs="CIDFont+F1"/>
                <w:sz w:val="20"/>
                <w:szCs w:val="20"/>
              </w:rPr>
              <w:t>examinées</w:t>
            </w:r>
            <w:r w:rsidRPr="003A184B">
              <w:rPr>
                <w:rFonts w:ascii="CIDFont+F1" w:hAnsi="CIDFont+F1" w:cs="CIDFont+F1"/>
                <w:sz w:val="20"/>
                <w:szCs w:val="20"/>
              </w:rPr>
              <w:t xml:space="preserve"> et validées par l</w:t>
            </w:r>
            <w:r w:rsidR="002E1C96" w:rsidRPr="003A184B">
              <w:rPr>
                <w:rFonts w:ascii="CIDFont+F1" w:hAnsi="CIDFont+F1" w:cs="CIDFont+F1"/>
                <w:sz w:val="20"/>
                <w:szCs w:val="20"/>
              </w:rPr>
              <w:t xml:space="preserve">’Emprunteur </w:t>
            </w:r>
            <w:r w:rsidRPr="003A184B">
              <w:rPr>
                <w:rFonts w:ascii="CIDFont+F1" w:hAnsi="CIDFont+F1" w:cs="CIDFont+F1"/>
                <w:sz w:val="20"/>
                <w:szCs w:val="20"/>
              </w:rPr>
              <w:t>à travers l’UGP</w:t>
            </w:r>
            <w:r w:rsidR="002E1C96" w:rsidRPr="003A184B">
              <w:rPr>
                <w:rFonts w:ascii="CIDFont+F1" w:hAnsi="CIDFont+F1" w:cs="CIDFont+F1"/>
                <w:sz w:val="20"/>
                <w:szCs w:val="20"/>
              </w:rPr>
              <w:t>C/</w:t>
            </w:r>
            <w:proofErr w:type="spellStart"/>
            <w:r w:rsidR="002E1C96" w:rsidRPr="003A184B">
              <w:rPr>
                <w:rFonts w:ascii="CIDFont+F1" w:hAnsi="CIDFont+F1" w:cs="CIDFont+F1"/>
                <w:sz w:val="20"/>
                <w:szCs w:val="20"/>
              </w:rPr>
              <w:t>UGPRs</w:t>
            </w:r>
            <w:proofErr w:type="spellEnd"/>
            <w:r w:rsidRPr="003A184B">
              <w:rPr>
                <w:rFonts w:ascii="CIDFont+F1" w:hAnsi="CIDFont+F1" w:cs="CIDFont+F1"/>
                <w:sz w:val="20"/>
                <w:szCs w:val="20"/>
              </w:rPr>
              <w:t xml:space="preserve"> </w:t>
            </w:r>
            <w:r w:rsidR="002E1C96" w:rsidRPr="003A184B">
              <w:rPr>
                <w:rFonts w:ascii="CIDFont+F1" w:hAnsi="CIDFont+F1" w:cs="CIDFont+F1"/>
                <w:sz w:val="20"/>
                <w:szCs w:val="20"/>
              </w:rPr>
              <w:t xml:space="preserve">et acceptables pour la Banque </w:t>
            </w:r>
            <w:r w:rsidRPr="003A184B">
              <w:rPr>
                <w:rFonts w:ascii="CIDFont+F1" w:hAnsi="CIDFont+F1" w:cs="CIDFont+F1"/>
                <w:sz w:val="20"/>
                <w:szCs w:val="20"/>
              </w:rPr>
              <w:t xml:space="preserve">et mises en œuvre </w:t>
            </w:r>
            <w:r w:rsidR="002E1C96" w:rsidRPr="003A184B">
              <w:rPr>
                <w:rFonts w:ascii="CIDFont+F1" w:hAnsi="CIDFont+F1" w:cs="CIDFont+F1"/>
                <w:sz w:val="20"/>
                <w:szCs w:val="20"/>
              </w:rPr>
              <w:t xml:space="preserve">tout au long de la période </w:t>
            </w:r>
            <w:r w:rsidRPr="003A184B">
              <w:rPr>
                <w:rFonts w:ascii="CIDFont+F1" w:hAnsi="CIDFont+F1" w:cs="CIDFont+F1"/>
                <w:sz w:val="20"/>
                <w:szCs w:val="20"/>
              </w:rPr>
              <w:t>des travaux de chantiers.</w:t>
            </w:r>
          </w:p>
          <w:p w14:paraId="4DA2D977" w14:textId="75A469A1" w:rsidR="00057C33" w:rsidRPr="003A184B" w:rsidRDefault="00057C33" w:rsidP="00057C33">
            <w:pPr>
              <w:keepLines/>
              <w:widowControl w:val="0"/>
              <w:jc w:val="both"/>
              <w:rPr>
                <w:rFonts w:cstheme="minorHAnsi"/>
                <w:sz w:val="20"/>
                <w:szCs w:val="20"/>
              </w:rPr>
            </w:pPr>
            <w:r w:rsidRPr="003A184B">
              <w:rPr>
                <w:rFonts w:ascii="CIDFont+F1" w:hAnsi="CIDFont+F1" w:cs="CIDFont+F1"/>
                <w:sz w:val="20"/>
                <w:szCs w:val="20"/>
              </w:rPr>
              <w:t>Ces mesures seront intégrées dans le manuel d’opération du projet et tous les contrats signés y compris par les travailleurs de l’</w:t>
            </w:r>
            <w:proofErr w:type="spellStart"/>
            <w:r w:rsidRPr="003A184B">
              <w:rPr>
                <w:rFonts w:ascii="CIDFont+F1" w:hAnsi="CIDFont+F1" w:cs="CIDFont+F1"/>
                <w:sz w:val="20"/>
                <w:szCs w:val="20"/>
              </w:rPr>
              <w:t>UGP</w:t>
            </w:r>
            <w:r w:rsidR="002E1C96" w:rsidRPr="003A184B">
              <w:rPr>
                <w:rFonts w:ascii="CIDFont+F1" w:hAnsi="CIDFont+F1" w:cs="CIDFont+F1"/>
                <w:sz w:val="20"/>
                <w:szCs w:val="20"/>
              </w:rPr>
              <w:t>Rs</w:t>
            </w:r>
            <w:proofErr w:type="spellEnd"/>
            <w:r w:rsidRPr="003A184B">
              <w:rPr>
                <w:rFonts w:ascii="CIDFont+F1" w:hAnsi="CIDFont+F1" w:cs="CIDFont+F1"/>
                <w:sz w:val="20"/>
                <w:szCs w:val="20"/>
              </w:rPr>
              <w:t xml:space="preserve"> dans le cadre du Projet.</w:t>
            </w:r>
          </w:p>
        </w:tc>
        <w:tc>
          <w:tcPr>
            <w:tcW w:w="3780" w:type="dxa"/>
          </w:tcPr>
          <w:p w14:paraId="0F6D9ACD" w14:textId="77777777" w:rsidR="00057C33" w:rsidRPr="003A184B" w:rsidRDefault="00057C33" w:rsidP="00057C33">
            <w:pPr>
              <w:autoSpaceDE w:val="0"/>
              <w:autoSpaceDN w:val="0"/>
              <w:adjustRightInd w:val="0"/>
              <w:jc w:val="both"/>
              <w:rPr>
                <w:rFonts w:ascii="CIDFont+F1" w:hAnsi="CIDFont+F1" w:cs="CIDFont+F1"/>
                <w:sz w:val="20"/>
                <w:szCs w:val="20"/>
              </w:rPr>
            </w:pPr>
          </w:p>
          <w:p w14:paraId="0327A6E5" w14:textId="2925D7F3" w:rsidR="002E1C96" w:rsidRPr="003A184B" w:rsidRDefault="0074285F" w:rsidP="00057C33">
            <w:pPr>
              <w:autoSpaceDE w:val="0"/>
              <w:autoSpaceDN w:val="0"/>
              <w:adjustRightInd w:val="0"/>
              <w:jc w:val="both"/>
              <w:rPr>
                <w:rFonts w:ascii="CIDFont+F1" w:hAnsi="CIDFont+F1" w:cs="CIDFont+F1"/>
                <w:sz w:val="20"/>
                <w:szCs w:val="20"/>
              </w:rPr>
            </w:pPr>
            <w:r w:rsidRPr="0074285F">
              <w:rPr>
                <w:rFonts w:ascii="CIDFont+F1" w:hAnsi="CIDFont+F1" w:cs="CIDFont+F1"/>
                <w:sz w:val="20"/>
                <w:szCs w:val="20"/>
              </w:rPr>
              <w:t>Avant le début de la mise en œuvre du contrat et maintenu pendant la mise en œuvre du projet</w:t>
            </w:r>
          </w:p>
          <w:p w14:paraId="6425B2FD" w14:textId="77777777" w:rsidR="002E1C96" w:rsidRPr="003A184B" w:rsidRDefault="002E1C96" w:rsidP="00057C33">
            <w:pPr>
              <w:autoSpaceDE w:val="0"/>
              <w:autoSpaceDN w:val="0"/>
              <w:adjustRightInd w:val="0"/>
              <w:jc w:val="both"/>
              <w:rPr>
                <w:rFonts w:ascii="CIDFont+F1" w:hAnsi="CIDFont+F1" w:cs="CIDFont+F1"/>
                <w:sz w:val="20"/>
                <w:szCs w:val="20"/>
              </w:rPr>
            </w:pPr>
          </w:p>
          <w:p w14:paraId="498970AE" w14:textId="77777777" w:rsidR="002E1C96" w:rsidRPr="003A184B" w:rsidRDefault="002E1C96" w:rsidP="00057C33">
            <w:pPr>
              <w:autoSpaceDE w:val="0"/>
              <w:autoSpaceDN w:val="0"/>
              <w:adjustRightInd w:val="0"/>
              <w:jc w:val="both"/>
              <w:rPr>
                <w:rFonts w:ascii="CIDFont+F1" w:hAnsi="CIDFont+F1" w:cs="CIDFont+F1"/>
                <w:sz w:val="20"/>
                <w:szCs w:val="20"/>
              </w:rPr>
            </w:pPr>
          </w:p>
          <w:p w14:paraId="0524BFF3" w14:textId="77777777" w:rsidR="002E1C96" w:rsidRPr="003A184B" w:rsidRDefault="002E1C96" w:rsidP="00057C33">
            <w:pPr>
              <w:autoSpaceDE w:val="0"/>
              <w:autoSpaceDN w:val="0"/>
              <w:adjustRightInd w:val="0"/>
              <w:jc w:val="both"/>
              <w:rPr>
                <w:rFonts w:ascii="CIDFont+F1" w:hAnsi="CIDFont+F1" w:cs="CIDFont+F1"/>
                <w:sz w:val="20"/>
                <w:szCs w:val="20"/>
              </w:rPr>
            </w:pPr>
          </w:p>
          <w:p w14:paraId="711E09F0" w14:textId="77777777" w:rsidR="002E1C96" w:rsidRPr="003A184B" w:rsidRDefault="002E1C96" w:rsidP="00057C33">
            <w:pPr>
              <w:autoSpaceDE w:val="0"/>
              <w:autoSpaceDN w:val="0"/>
              <w:adjustRightInd w:val="0"/>
              <w:jc w:val="both"/>
              <w:rPr>
                <w:rFonts w:ascii="CIDFont+F1" w:hAnsi="CIDFont+F1" w:cs="CIDFont+F1"/>
                <w:sz w:val="20"/>
                <w:szCs w:val="20"/>
              </w:rPr>
            </w:pPr>
          </w:p>
          <w:p w14:paraId="75481462" w14:textId="77777777" w:rsidR="002E1C96" w:rsidRPr="003A184B" w:rsidRDefault="002E1C96" w:rsidP="00057C33">
            <w:pPr>
              <w:autoSpaceDE w:val="0"/>
              <w:autoSpaceDN w:val="0"/>
              <w:adjustRightInd w:val="0"/>
              <w:jc w:val="both"/>
              <w:rPr>
                <w:rFonts w:ascii="CIDFont+F1" w:hAnsi="CIDFont+F1" w:cs="CIDFont+F1"/>
                <w:sz w:val="20"/>
                <w:szCs w:val="20"/>
              </w:rPr>
            </w:pPr>
          </w:p>
          <w:p w14:paraId="4DA2D978" w14:textId="6942DE72" w:rsidR="002E1C96" w:rsidRPr="003A184B" w:rsidRDefault="002E1C96" w:rsidP="00057C33">
            <w:pPr>
              <w:autoSpaceDE w:val="0"/>
              <w:autoSpaceDN w:val="0"/>
              <w:adjustRightInd w:val="0"/>
              <w:jc w:val="both"/>
              <w:rPr>
                <w:rFonts w:ascii="CIDFont+F1" w:hAnsi="CIDFont+F1" w:cs="CIDFont+F1"/>
                <w:sz w:val="20"/>
                <w:szCs w:val="20"/>
              </w:rPr>
            </w:pPr>
          </w:p>
        </w:tc>
        <w:tc>
          <w:tcPr>
            <w:tcW w:w="3690" w:type="dxa"/>
          </w:tcPr>
          <w:p w14:paraId="5D02DDA2" w14:textId="77777777" w:rsidR="00057C33" w:rsidRPr="003A184B" w:rsidRDefault="00057C33" w:rsidP="00057C33">
            <w:pPr>
              <w:autoSpaceDE w:val="0"/>
              <w:autoSpaceDN w:val="0"/>
              <w:adjustRightInd w:val="0"/>
              <w:jc w:val="both"/>
              <w:rPr>
                <w:rFonts w:ascii="CIDFont+F1" w:hAnsi="CIDFont+F1" w:cs="CIDFont+F1"/>
                <w:sz w:val="20"/>
                <w:szCs w:val="20"/>
              </w:rPr>
            </w:pPr>
          </w:p>
          <w:p w14:paraId="538EEC9F" w14:textId="77777777" w:rsidR="002E1C96" w:rsidRPr="003A184B" w:rsidRDefault="002E1C96" w:rsidP="00057C33">
            <w:pPr>
              <w:autoSpaceDE w:val="0"/>
              <w:autoSpaceDN w:val="0"/>
              <w:adjustRightInd w:val="0"/>
              <w:jc w:val="both"/>
              <w:rPr>
                <w:rFonts w:ascii="CIDFont+F1" w:hAnsi="CIDFont+F1" w:cs="CIDFont+F1"/>
                <w:sz w:val="20"/>
                <w:szCs w:val="20"/>
              </w:rPr>
            </w:pPr>
            <w:r w:rsidRPr="003A184B">
              <w:rPr>
                <w:rFonts w:cstheme="minorHAnsi"/>
                <w:sz w:val="20"/>
                <w:szCs w:val="20"/>
              </w:rPr>
              <w:t>UGPC/</w:t>
            </w:r>
            <w:proofErr w:type="spellStart"/>
            <w:r w:rsidRPr="003A184B">
              <w:rPr>
                <w:rFonts w:cstheme="minorHAnsi"/>
                <w:sz w:val="20"/>
                <w:szCs w:val="20"/>
              </w:rPr>
              <w:t>UGPRs</w:t>
            </w:r>
            <w:proofErr w:type="spellEnd"/>
            <w:r w:rsidRPr="003A184B">
              <w:rPr>
                <w:rFonts w:cstheme="minorHAnsi"/>
                <w:sz w:val="20"/>
                <w:szCs w:val="20"/>
              </w:rPr>
              <w:t>/ONCA</w:t>
            </w:r>
            <w:r w:rsidRPr="003A184B">
              <w:rPr>
                <w:rFonts w:ascii="CIDFont+F1" w:hAnsi="CIDFont+F1" w:cs="CIDFont+F1"/>
                <w:sz w:val="20"/>
                <w:szCs w:val="20"/>
              </w:rPr>
              <w:t xml:space="preserve"> </w:t>
            </w:r>
          </w:p>
          <w:p w14:paraId="32D62BE9" w14:textId="05ACDC5F" w:rsidR="00057C33" w:rsidRPr="003A184B" w:rsidRDefault="00057C33" w:rsidP="00057C33">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Fournisseurs et/ou Prestataires de</w:t>
            </w:r>
          </w:p>
          <w:p w14:paraId="4DA2D979" w14:textId="5D5F62BC" w:rsidR="00057C33" w:rsidRPr="003A184B" w:rsidRDefault="00057C33" w:rsidP="00057C33">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Services</w:t>
            </w:r>
          </w:p>
        </w:tc>
      </w:tr>
      <w:tr w:rsidR="00057C33" w:rsidRPr="003A184B" w14:paraId="4DA2D983" w14:textId="77777777" w:rsidTr="003354F2">
        <w:trPr>
          <w:cantSplit/>
          <w:trHeight w:val="20"/>
        </w:trPr>
        <w:tc>
          <w:tcPr>
            <w:tcW w:w="14305" w:type="dxa"/>
            <w:gridSpan w:val="4"/>
            <w:shd w:val="clear" w:color="auto" w:fill="F4B083" w:themeFill="accent2" w:themeFillTint="99"/>
          </w:tcPr>
          <w:p w14:paraId="4DA2D982" w14:textId="5B670D04" w:rsidR="00057C33" w:rsidRPr="003A184B" w:rsidRDefault="00057C33" w:rsidP="00057C33">
            <w:pPr>
              <w:keepLines/>
              <w:widowControl w:val="0"/>
              <w:rPr>
                <w:rFonts w:cstheme="minorHAnsi"/>
                <w:sz w:val="20"/>
                <w:szCs w:val="20"/>
              </w:rPr>
            </w:pPr>
            <w:r w:rsidRPr="003A184B">
              <w:rPr>
                <w:b/>
                <w:sz w:val="20"/>
                <w:szCs w:val="20"/>
              </w:rPr>
              <w:t>NES n</w:t>
            </w:r>
            <w:r w:rsidRPr="003A184B">
              <w:rPr>
                <w:b/>
                <w:sz w:val="20"/>
                <w:szCs w:val="20"/>
                <w:vertAlign w:val="superscript"/>
              </w:rPr>
              <w:t>o</w:t>
            </w:r>
            <w:r w:rsidRPr="003A184B">
              <w:rPr>
                <w:b/>
                <w:sz w:val="20"/>
                <w:szCs w:val="20"/>
              </w:rPr>
              <w:t xml:space="preserve"> 3 : UTILISATION RATIONNELLE DES RESSOURCES ET PRÉVENTION ET GESTION DE LA </w:t>
            </w:r>
            <w:proofErr w:type="gramStart"/>
            <w:r w:rsidRPr="003A184B">
              <w:rPr>
                <w:b/>
                <w:sz w:val="20"/>
                <w:szCs w:val="20"/>
              </w:rPr>
              <w:t>POLLUTION</w:t>
            </w:r>
            <w:r w:rsidRPr="003A184B">
              <w:rPr>
                <w:sz w:val="20"/>
                <w:szCs w:val="20"/>
              </w:rPr>
              <w:t xml:space="preserve"> </w:t>
            </w:r>
            <w:r w:rsidR="00BA3E00">
              <w:rPr>
                <w:sz w:val="20"/>
                <w:szCs w:val="20"/>
              </w:rPr>
              <w:t xml:space="preserve"> </w:t>
            </w:r>
            <w:r w:rsidR="00BA3E00" w:rsidRPr="00BA3E00">
              <w:rPr>
                <w:sz w:val="20"/>
                <w:szCs w:val="20"/>
              </w:rPr>
              <w:t>[</w:t>
            </w:r>
            <w:proofErr w:type="gramEnd"/>
            <w:r w:rsidR="00BA3E00" w:rsidRPr="00BA3E00">
              <w:rPr>
                <w:sz w:val="20"/>
                <w:szCs w:val="20"/>
              </w:rPr>
              <w:t xml:space="preserve">la pertinence de l'ESS3 est établie lors du processus </w:t>
            </w:r>
            <w:r w:rsidR="00BA3E00">
              <w:rPr>
                <w:sz w:val="20"/>
                <w:szCs w:val="20"/>
              </w:rPr>
              <w:t>d’Evaluation Environnementale et Sociale (EES)</w:t>
            </w:r>
            <w:r w:rsidR="00BA3E00" w:rsidRPr="00BA3E00">
              <w:rPr>
                <w:sz w:val="20"/>
                <w:szCs w:val="20"/>
              </w:rPr>
              <w:t xml:space="preserve">. La NES3 peut nécessiter l'adoption de mesures spécifiques pour couvrir l'utilisation de l'énergie, de l'eau (par exemple, le bilan hydrique) et des matières premières, la gestion de la pollution de l'air, des déchets dangereux et non dangereux, des produits chimiques et des matières dangereuses et des pesticides. Selon le projet, ces mesures peuvent être définies dans un instrument E&amp;S (par exemple, PGES) déjà mentionné dans la section sous ESS1 ci-dessus ou en tant qu'instrument autonome ou en tant que mesure ou action distincte. </w:t>
            </w:r>
            <w:r w:rsidR="00BA3E00" w:rsidRPr="00BA3E00">
              <w:rPr>
                <w:b/>
                <w:bCs/>
                <w:sz w:val="20"/>
                <w:szCs w:val="20"/>
              </w:rPr>
              <w:t>Voir exemples ci-dessous</w:t>
            </w:r>
            <w:r w:rsidR="00BA3E00" w:rsidRPr="00BA3E00">
              <w:rPr>
                <w:sz w:val="20"/>
                <w:szCs w:val="20"/>
              </w:rPr>
              <w:t>].</w:t>
            </w:r>
          </w:p>
        </w:tc>
      </w:tr>
      <w:tr w:rsidR="00BA3E00" w:rsidRPr="003A184B" w14:paraId="36566D1D" w14:textId="77777777" w:rsidTr="003354F2">
        <w:trPr>
          <w:cantSplit/>
          <w:trHeight w:val="20"/>
        </w:trPr>
        <w:tc>
          <w:tcPr>
            <w:tcW w:w="715" w:type="dxa"/>
          </w:tcPr>
          <w:p w14:paraId="0724F225" w14:textId="5F2E31FC" w:rsidR="00BA3E00" w:rsidRPr="003A184B" w:rsidRDefault="00BA3E00" w:rsidP="00057C33">
            <w:pPr>
              <w:keepLines/>
              <w:widowControl w:val="0"/>
              <w:jc w:val="center"/>
              <w:rPr>
                <w:sz w:val="20"/>
                <w:szCs w:val="20"/>
              </w:rPr>
            </w:pPr>
            <w:r>
              <w:rPr>
                <w:sz w:val="20"/>
                <w:szCs w:val="20"/>
              </w:rPr>
              <w:t xml:space="preserve">3.1 </w:t>
            </w:r>
          </w:p>
        </w:tc>
        <w:tc>
          <w:tcPr>
            <w:tcW w:w="6120" w:type="dxa"/>
          </w:tcPr>
          <w:p w14:paraId="2BD98180" w14:textId="588A6520" w:rsidR="00BA3E00" w:rsidRPr="00BA3E00" w:rsidRDefault="00BA3E00" w:rsidP="00165946">
            <w:pPr>
              <w:keepLines/>
              <w:widowControl w:val="0"/>
              <w:rPr>
                <w:b/>
                <w:color w:val="5B9BD5" w:themeColor="accent5"/>
                <w:sz w:val="20"/>
                <w:szCs w:val="20"/>
              </w:rPr>
            </w:pPr>
            <w:r w:rsidRPr="00BA3E00">
              <w:rPr>
                <w:b/>
                <w:color w:val="5B9BD5" w:themeColor="accent5"/>
                <w:sz w:val="20"/>
                <w:szCs w:val="20"/>
              </w:rPr>
              <w:t>PLAN DE GESTION DES DÉCHETS</w:t>
            </w:r>
          </w:p>
          <w:p w14:paraId="2F6A1BF5" w14:textId="3159726C" w:rsidR="00BA3E00" w:rsidRPr="00BA3E00" w:rsidRDefault="00BA3E00" w:rsidP="00BA3E00">
            <w:pPr>
              <w:keepLines/>
              <w:widowControl w:val="0"/>
              <w:rPr>
                <w:bCs/>
                <w:color w:val="5B9BD5" w:themeColor="accent5"/>
                <w:sz w:val="20"/>
                <w:szCs w:val="20"/>
              </w:rPr>
            </w:pPr>
            <w:r w:rsidRPr="00165946">
              <w:rPr>
                <w:bCs/>
                <w:sz w:val="20"/>
                <w:szCs w:val="20"/>
              </w:rPr>
              <w:t>Adopter et mettre en œuvre un plan de gestion des déchets (PGD), pour gérer les déchets dangereux et non dangereux, conformément à la NES3.</w:t>
            </w:r>
          </w:p>
        </w:tc>
        <w:tc>
          <w:tcPr>
            <w:tcW w:w="3780" w:type="dxa"/>
          </w:tcPr>
          <w:p w14:paraId="14BF476B" w14:textId="780E3DB6" w:rsidR="00BA3E00" w:rsidRPr="003A184B" w:rsidRDefault="00BA3E00" w:rsidP="00057C33">
            <w:pPr>
              <w:autoSpaceDE w:val="0"/>
              <w:autoSpaceDN w:val="0"/>
              <w:adjustRightInd w:val="0"/>
              <w:jc w:val="both"/>
              <w:rPr>
                <w:rFonts w:ascii="CIDFont+F6" w:hAnsi="CIDFont+F6" w:cs="CIDFont+F6"/>
                <w:sz w:val="20"/>
                <w:szCs w:val="20"/>
              </w:rPr>
            </w:pPr>
            <w:r w:rsidRPr="00BA3E00">
              <w:rPr>
                <w:rFonts w:ascii="CIDFont+F6" w:hAnsi="CIDFont+F6" w:cs="CIDFont+F6"/>
                <w:sz w:val="20"/>
                <w:szCs w:val="20"/>
              </w:rPr>
              <w:t xml:space="preserve">Adopter le </w:t>
            </w:r>
            <w:r>
              <w:rPr>
                <w:rFonts w:ascii="CIDFont+F6" w:hAnsi="CIDFont+F6" w:cs="CIDFont+F6"/>
                <w:sz w:val="20"/>
                <w:szCs w:val="20"/>
              </w:rPr>
              <w:t>PGD</w:t>
            </w:r>
            <w:r w:rsidRPr="00BA3E00">
              <w:rPr>
                <w:rFonts w:ascii="CIDFont+F6" w:hAnsi="CIDFont+F6" w:cs="CIDFont+F6"/>
                <w:sz w:val="20"/>
                <w:szCs w:val="20"/>
              </w:rPr>
              <w:t xml:space="preserve"> avant le début des travaux de construction, puis mettre en œuvre le </w:t>
            </w:r>
            <w:r>
              <w:rPr>
                <w:rFonts w:ascii="CIDFont+F6" w:hAnsi="CIDFont+F6" w:cs="CIDFont+F6"/>
                <w:sz w:val="20"/>
                <w:szCs w:val="20"/>
              </w:rPr>
              <w:t>PGD</w:t>
            </w:r>
            <w:r w:rsidRPr="00BA3E00">
              <w:rPr>
                <w:rFonts w:ascii="CIDFont+F6" w:hAnsi="CIDFont+F6" w:cs="CIDFont+F6"/>
                <w:sz w:val="20"/>
                <w:szCs w:val="20"/>
              </w:rPr>
              <w:t xml:space="preserve"> tout au long de la mise en œuvre du projet.</w:t>
            </w:r>
          </w:p>
        </w:tc>
        <w:tc>
          <w:tcPr>
            <w:tcW w:w="3690" w:type="dxa"/>
          </w:tcPr>
          <w:p w14:paraId="30CA4001" w14:textId="1741963D" w:rsidR="00BA3E00" w:rsidRPr="003A184B" w:rsidRDefault="00BA3E00" w:rsidP="00BA3E00">
            <w:pPr>
              <w:autoSpaceDE w:val="0"/>
              <w:autoSpaceDN w:val="0"/>
              <w:adjustRightInd w:val="0"/>
              <w:rPr>
                <w:rFonts w:ascii="CIDFont+F1" w:hAnsi="CIDFont+F1" w:cs="CIDFont+F1"/>
                <w:sz w:val="20"/>
                <w:szCs w:val="20"/>
              </w:rPr>
            </w:pPr>
            <w:r w:rsidRPr="003A184B">
              <w:rPr>
                <w:rFonts w:ascii="CIDFont+F1" w:hAnsi="CIDFont+F1" w:cs="CIDFont+F1"/>
                <w:sz w:val="20"/>
                <w:szCs w:val="20"/>
              </w:rPr>
              <w:t>UGPC/</w:t>
            </w:r>
            <w:proofErr w:type="spellStart"/>
            <w:r w:rsidRPr="003A184B">
              <w:rPr>
                <w:rFonts w:ascii="CIDFont+F1" w:hAnsi="CIDFont+F1" w:cs="CIDFont+F1"/>
                <w:sz w:val="20"/>
                <w:szCs w:val="20"/>
              </w:rPr>
              <w:t>UGPRs</w:t>
            </w:r>
            <w:proofErr w:type="spellEnd"/>
            <w:r>
              <w:rPr>
                <w:rFonts w:ascii="CIDFont+F1" w:hAnsi="CIDFont+F1" w:cs="CIDFont+F1"/>
                <w:sz w:val="20"/>
                <w:szCs w:val="20"/>
              </w:rPr>
              <w:t>/ONCA</w:t>
            </w:r>
          </w:p>
          <w:p w14:paraId="5A063616" w14:textId="77777777" w:rsidR="00BA3E00" w:rsidRPr="003A184B" w:rsidRDefault="00BA3E00" w:rsidP="00BA3E00">
            <w:pPr>
              <w:autoSpaceDE w:val="0"/>
              <w:autoSpaceDN w:val="0"/>
              <w:adjustRightInd w:val="0"/>
              <w:rPr>
                <w:rFonts w:ascii="CIDFont+F1" w:hAnsi="CIDFont+F1" w:cs="CIDFont+F1"/>
                <w:sz w:val="20"/>
                <w:szCs w:val="20"/>
              </w:rPr>
            </w:pPr>
            <w:r w:rsidRPr="003A184B">
              <w:rPr>
                <w:rFonts w:ascii="CIDFont+F1" w:hAnsi="CIDFont+F1" w:cs="CIDFont+F1"/>
                <w:sz w:val="20"/>
                <w:szCs w:val="20"/>
              </w:rPr>
              <w:t>Fournisseurs et/ou Prestataires de</w:t>
            </w:r>
          </w:p>
          <w:p w14:paraId="09239D4E" w14:textId="3B55CE06" w:rsidR="00BA3E00" w:rsidRPr="003A184B" w:rsidRDefault="00BA3E00" w:rsidP="00BA3E00">
            <w:pPr>
              <w:autoSpaceDE w:val="0"/>
              <w:autoSpaceDN w:val="0"/>
              <w:adjustRightInd w:val="0"/>
              <w:rPr>
                <w:rFonts w:ascii="CIDFont+F1" w:hAnsi="CIDFont+F1" w:cs="CIDFont+F1"/>
                <w:sz w:val="20"/>
                <w:szCs w:val="20"/>
              </w:rPr>
            </w:pPr>
            <w:r w:rsidRPr="003A184B">
              <w:rPr>
                <w:rFonts w:ascii="CIDFont+F1" w:hAnsi="CIDFont+F1" w:cs="CIDFont+F1"/>
                <w:sz w:val="20"/>
                <w:szCs w:val="20"/>
                <w:lang w:val="en-US"/>
              </w:rPr>
              <w:t>Services</w:t>
            </w:r>
          </w:p>
        </w:tc>
      </w:tr>
      <w:tr w:rsidR="003B6EEA" w:rsidRPr="003A184B" w14:paraId="4DA2D989" w14:textId="77777777" w:rsidTr="003354F2">
        <w:trPr>
          <w:cantSplit/>
          <w:trHeight w:val="20"/>
        </w:trPr>
        <w:tc>
          <w:tcPr>
            <w:tcW w:w="715" w:type="dxa"/>
          </w:tcPr>
          <w:p w14:paraId="4DA2D984" w14:textId="2BDA52AE" w:rsidR="003B6EEA" w:rsidRPr="003A184B" w:rsidRDefault="003B6EEA" w:rsidP="00057C33">
            <w:pPr>
              <w:keepLines/>
              <w:widowControl w:val="0"/>
              <w:jc w:val="center"/>
              <w:rPr>
                <w:rFonts w:cstheme="minorHAnsi"/>
                <w:sz w:val="20"/>
                <w:szCs w:val="20"/>
              </w:rPr>
            </w:pPr>
            <w:r w:rsidRPr="003A184B">
              <w:rPr>
                <w:sz w:val="20"/>
                <w:szCs w:val="20"/>
              </w:rPr>
              <w:t>3.</w:t>
            </w:r>
            <w:r w:rsidR="00BA3E00">
              <w:rPr>
                <w:sz w:val="20"/>
                <w:szCs w:val="20"/>
              </w:rPr>
              <w:t>2</w:t>
            </w:r>
          </w:p>
        </w:tc>
        <w:tc>
          <w:tcPr>
            <w:tcW w:w="6120" w:type="dxa"/>
          </w:tcPr>
          <w:p w14:paraId="70090A3A" w14:textId="77777777" w:rsidR="003B6EEA" w:rsidRPr="003A184B" w:rsidRDefault="003B6EEA" w:rsidP="00057C33">
            <w:pPr>
              <w:keepLines/>
              <w:widowControl w:val="0"/>
              <w:rPr>
                <w:b/>
                <w:color w:val="5B9BD5" w:themeColor="accent5"/>
                <w:sz w:val="20"/>
                <w:szCs w:val="20"/>
              </w:rPr>
            </w:pPr>
            <w:r w:rsidRPr="003A184B">
              <w:rPr>
                <w:b/>
                <w:color w:val="5B9BD5" w:themeColor="accent5"/>
                <w:sz w:val="20"/>
                <w:szCs w:val="20"/>
              </w:rPr>
              <w:t>UTILISATION RATIONNELLE DES RESSOURCES ET PRÉVENTION ET GESTION DE LA POLLUTION</w:t>
            </w:r>
          </w:p>
          <w:p w14:paraId="04480E44" w14:textId="77777777" w:rsidR="00BA3E00" w:rsidRDefault="00BA3E00" w:rsidP="002E1C96">
            <w:pPr>
              <w:autoSpaceDE w:val="0"/>
              <w:autoSpaceDN w:val="0"/>
              <w:adjustRightInd w:val="0"/>
              <w:rPr>
                <w:rFonts w:cstheme="minorHAnsi"/>
                <w:sz w:val="20"/>
                <w:szCs w:val="20"/>
              </w:rPr>
            </w:pPr>
            <w:r w:rsidRPr="00BA3E00">
              <w:rPr>
                <w:rFonts w:cstheme="minorHAnsi"/>
                <w:sz w:val="20"/>
                <w:szCs w:val="20"/>
              </w:rPr>
              <w:t>Incorporer des mesures d'efficacité des ressources et de prévention et de gestion de la pollution dans le PGES à préparer dans le cadre de l'action [1.2] ci-dessus.</w:t>
            </w:r>
          </w:p>
          <w:p w14:paraId="4DA2D986" w14:textId="1076AF97" w:rsidR="003B6EEA" w:rsidRPr="003A184B" w:rsidRDefault="003B6EEA" w:rsidP="001E2BE9">
            <w:pPr>
              <w:autoSpaceDE w:val="0"/>
              <w:autoSpaceDN w:val="0"/>
              <w:adjustRightInd w:val="0"/>
              <w:rPr>
                <w:rFonts w:cstheme="minorHAnsi"/>
                <w:sz w:val="20"/>
                <w:szCs w:val="20"/>
              </w:rPr>
            </w:pPr>
          </w:p>
        </w:tc>
        <w:tc>
          <w:tcPr>
            <w:tcW w:w="3780" w:type="dxa"/>
          </w:tcPr>
          <w:p w14:paraId="41B5176F" w14:textId="77777777" w:rsidR="003B6EEA" w:rsidRPr="003A184B" w:rsidRDefault="003B6EEA" w:rsidP="00057C33">
            <w:pPr>
              <w:autoSpaceDE w:val="0"/>
              <w:autoSpaceDN w:val="0"/>
              <w:adjustRightInd w:val="0"/>
              <w:jc w:val="both"/>
              <w:rPr>
                <w:rFonts w:ascii="CIDFont+F6" w:hAnsi="CIDFont+F6" w:cs="CIDFont+F6"/>
                <w:sz w:val="20"/>
                <w:szCs w:val="20"/>
              </w:rPr>
            </w:pPr>
          </w:p>
          <w:p w14:paraId="25F468DE" w14:textId="049C6890" w:rsidR="00A40AB0" w:rsidRPr="00A40AB0" w:rsidRDefault="00A40AB0" w:rsidP="00A40AB0">
            <w:pPr>
              <w:autoSpaceDE w:val="0"/>
              <w:autoSpaceDN w:val="0"/>
              <w:adjustRightInd w:val="0"/>
              <w:jc w:val="both"/>
              <w:rPr>
                <w:rFonts w:cstheme="minorHAnsi"/>
                <w:sz w:val="20"/>
                <w:szCs w:val="20"/>
              </w:rPr>
            </w:pPr>
            <w:r w:rsidRPr="00A40AB0">
              <w:rPr>
                <w:rFonts w:cstheme="minorHAnsi"/>
                <w:sz w:val="20"/>
                <w:szCs w:val="20"/>
              </w:rPr>
              <w:t xml:space="preserve">Le PGES a été préparé, consulté et </w:t>
            </w:r>
            <w:r w:rsidR="00C374FD">
              <w:rPr>
                <w:rFonts w:cstheme="minorHAnsi"/>
                <w:sz w:val="20"/>
                <w:szCs w:val="20"/>
              </w:rPr>
              <w:t>publi</w:t>
            </w:r>
            <w:r w:rsidR="00C374FD" w:rsidRPr="00A40AB0">
              <w:rPr>
                <w:rFonts w:cstheme="minorHAnsi"/>
                <w:sz w:val="20"/>
                <w:szCs w:val="20"/>
              </w:rPr>
              <w:t>é</w:t>
            </w:r>
            <w:r w:rsidRPr="00A40AB0">
              <w:rPr>
                <w:rFonts w:cstheme="minorHAnsi"/>
                <w:sz w:val="20"/>
                <w:szCs w:val="20"/>
              </w:rPr>
              <w:t xml:space="preserve"> avant les négociations.</w:t>
            </w:r>
          </w:p>
          <w:p w14:paraId="4DA2D987" w14:textId="2C67D029" w:rsidR="003B6EEA" w:rsidRPr="003A184B" w:rsidRDefault="00A40AB0" w:rsidP="00A40AB0">
            <w:pPr>
              <w:autoSpaceDE w:val="0"/>
              <w:autoSpaceDN w:val="0"/>
              <w:adjustRightInd w:val="0"/>
              <w:jc w:val="both"/>
              <w:rPr>
                <w:rFonts w:cstheme="minorHAnsi"/>
                <w:sz w:val="20"/>
                <w:szCs w:val="20"/>
              </w:rPr>
            </w:pPr>
            <w:r w:rsidRPr="00A40AB0">
              <w:rPr>
                <w:rFonts w:cstheme="minorHAnsi"/>
                <w:sz w:val="20"/>
                <w:szCs w:val="20"/>
              </w:rPr>
              <w:t>Le PGES doit être mis en œuvre et maintenu tout au long de la mise en œuvre du projet</w:t>
            </w:r>
          </w:p>
        </w:tc>
        <w:tc>
          <w:tcPr>
            <w:tcW w:w="3690" w:type="dxa"/>
          </w:tcPr>
          <w:p w14:paraId="568DDBC0" w14:textId="77777777" w:rsidR="003B6EEA" w:rsidRPr="003A184B" w:rsidRDefault="003B6EEA" w:rsidP="00057C33">
            <w:pPr>
              <w:autoSpaceDE w:val="0"/>
              <w:autoSpaceDN w:val="0"/>
              <w:adjustRightInd w:val="0"/>
              <w:rPr>
                <w:rFonts w:ascii="CIDFont+F1" w:hAnsi="CIDFont+F1" w:cs="CIDFont+F1"/>
                <w:sz w:val="20"/>
                <w:szCs w:val="20"/>
              </w:rPr>
            </w:pPr>
          </w:p>
          <w:p w14:paraId="3F02A4F7" w14:textId="77777777" w:rsidR="003B6EEA" w:rsidRPr="003A184B" w:rsidRDefault="003B6EEA" w:rsidP="00057C33">
            <w:pPr>
              <w:autoSpaceDE w:val="0"/>
              <w:autoSpaceDN w:val="0"/>
              <w:adjustRightInd w:val="0"/>
              <w:rPr>
                <w:rFonts w:ascii="CIDFont+F1" w:hAnsi="CIDFont+F1" w:cs="CIDFont+F1"/>
                <w:sz w:val="20"/>
                <w:szCs w:val="20"/>
              </w:rPr>
            </w:pPr>
          </w:p>
          <w:p w14:paraId="0C8FB3C4" w14:textId="70FC2502" w:rsidR="003B6EEA" w:rsidRPr="003A184B" w:rsidRDefault="00BA3E00" w:rsidP="00057C33">
            <w:pPr>
              <w:autoSpaceDE w:val="0"/>
              <w:autoSpaceDN w:val="0"/>
              <w:adjustRightInd w:val="0"/>
              <w:rPr>
                <w:rFonts w:ascii="CIDFont+F1" w:hAnsi="CIDFont+F1" w:cs="CIDFont+F1"/>
                <w:sz w:val="20"/>
                <w:szCs w:val="20"/>
              </w:rPr>
            </w:pPr>
            <w:r>
              <w:rPr>
                <w:rFonts w:ascii="CIDFont+F1" w:hAnsi="CIDFont+F1" w:cs="CIDFont+F1"/>
                <w:sz w:val="20"/>
                <w:szCs w:val="20"/>
              </w:rPr>
              <w:t>MAPMDREF/</w:t>
            </w:r>
            <w:r w:rsidR="003B6EEA" w:rsidRPr="003A184B">
              <w:rPr>
                <w:rFonts w:ascii="CIDFont+F1" w:hAnsi="CIDFont+F1" w:cs="CIDFont+F1"/>
                <w:sz w:val="20"/>
                <w:szCs w:val="20"/>
              </w:rPr>
              <w:t>UGPC/</w:t>
            </w:r>
            <w:proofErr w:type="spellStart"/>
            <w:r w:rsidR="003B6EEA" w:rsidRPr="003A184B">
              <w:rPr>
                <w:rFonts w:ascii="CIDFont+F1" w:hAnsi="CIDFont+F1" w:cs="CIDFont+F1"/>
                <w:sz w:val="20"/>
                <w:szCs w:val="20"/>
              </w:rPr>
              <w:t>UGPRs</w:t>
            </w:r>
            <w:proofErr w:type="spellEnd"/>
          </w:p>
          <w:p w14:paraId="4DA2D988" w14:textId="32294F32" w:rsidR="003B6EEA" w:rsidRPr="003A184B" w:rsidRDefault="003B6EEA" w:rsidP="00057C33">
            <w:pPr>
              <w:keepLines/>
              <w:widowControl w:val="0"/>
              <w:rPr>
                <w:rFonts w:cstheme="minorHAnsi"/>
                <w:sz w:val="20"/>
                <w:szCs w:val="20"/>
              </w:rPr>
            </w:pPr>
          </w:p>
        </w:tc>
      </w:tr>
    </w:tbl>
    <w:p w14:paraId="4DA2D990" w14:textId="77777777" w:rsidR="00FB1042" w:rsidRPr="003A184B" w:rsidRDefault="00FB1042" w:rsidP="00FB1042">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FB1042" w:rsidRPr="003A184B" w14:paraId="4DA2D992" w14:textId="77777777" w:rsidTr="2748EF3C">
        <w:trPr>
          <w:cantSplit/>
          <w:trHeight w:val="20"/>
        </w:trPr>
        <w:tc>
          <w:tcPr>
            <w:tcW w:w="14305" w:type="dxa"/>
            <w:gridSpan w:val="4"/>
            <w:shd w:val="clear" w:color="auto" w:fill="F4B083" w:themeFill="accent2" w:themeFillTint="99"/>
          </w:tcPr>
          <w:p w14:paraId="4DA2D991" w14:textId="4A282E62" w:rsidR="00FB1042" w:rsidRPr="003A184B" w:rsidRDefault="00FB1042" w:rsidP="003354F2">
            <w:pPr>
              <w:keepLines/>
              <w:widowControl w:val="0"/>
              <w:rPr>
                <w:rFonts w:cstheme="minorHAnsi"/>
                <w:sz w:val="20"/>
                <w:szCs w:val="20"/>
              </w:rPr>
            </w:pPr>
            <w:r w:rsidRPr="003A184B">
              <w:rPr>
                <w:b/>
                <w:sz w:val="20"/>
                <w:szCs w:val="20"/>
              </w:rPr>
              <w:t>NES n</w:t>
            </w:r>
            <w:r w:rsidRPr="003A184B">
              <w:rPr>
                <w:b/>
                <w:sz w:val="20"/>
                <w:szCs w:val="20"/>
                <w:vertAlign w:val="superscript"/>
              </w:rPr>
              <w:t>o</w:t>
            </w:r>
            <w:r w:rsidRPr="003A184B">
              <w:rPr>
                <w:b/>
                <w:sz w:val="20"/>
                <w:szCs w:val="20"/>
              </w:rPr>
              <w:t xml:space="preserve"> 4 : SANTÉ ET SÉCURITÉ DES POPULATIONS </w:t>
            </w:r>
            <w:r w:rsidR="00BA3E00" w:rsidRPr="00BA3E00">
              <w:rPr>
                <w:bCs/>
                <w:sz w:val="20"/>
                <w:szCs w:val="20"/>
              </w:rPr>
              <w:t xml:space="preserve">[la pertinence de la NES 4 est établie au cours du processus </w:t>
            </w:r>
            <w:r w:rsidR="00BA3E00">
              <w:rPr>
                <w:sz w:val="20"/>
                <w:szCs w:val="20"/>
              </w:rPr>
              <w:t>d’Evaluation Environnementale et Sociale (EES)</w:t>
            </w:r>
            <w:r w:rsidR="00BA3E00" w:rsidRPr="00BA3E00">
              <w:rPr>
                <w:bCs/>
                <w:sz w:val="20"/>
                <w:szCs w:val="20"/>
              </w:rPr>
              <w:t>. Comme pour les autres NES, la NES 4 peut nécessiter l'adoption de mesures spécifiques pour couvrir les risques pour la santé et la sécurité des communautés, y compris, entre autres, sur la conception et la sécurité des infrastructures et des équipements, la sécurité des services, la circulation et la sécurité routière, l'exposition de la communauté aux problèmes de santé, l'écosystème services, la gestion et la sécurité des matières dangereuses, la préparation et la réponse aux situations d'urgence, la sécurité (y compris l'engagement du personnel de sécurité) et la sécurité des barrages. Selon le projet, ces mesures peuvent être définies dans un instrument E&amp;S (par exemple, PGES) déjà mentionné dans la section sous ESS1 ci-dessus ou en tant qu'instrument autonome ou en tant que mesure ou action distincte. Voir exemples ci-dessous].</w:t>
            </w:r>
          </w:p>
        </w:tc>
      </w:tr>
      <w:tr w:rsidR="00FB1042" w:rsidRPr="003A184B" w14:paraId="4DA2D998" w14:textId="77777777" w:rsidTr="2748EF3C">
        <w:trPr>
          <w:cantSplit/>
          <w:trHeight w:val="20"/>
        </w:trPr>
        <w:tc>
          <w:tcPr>
            <w:tcW w:w="715" w:type="dxa"/>
          </w:tcPr>
          <w:p w14:paraId="4DA2D993" w14:textId="77777777" w:rsidR="00FB1042" w:rsidRPr="003A184B" w:rsidRDefault="00FB1042" w:rsidP="003354F2">
            <w:pPr>
              <w:keepLines/>
              <w:widowControl w:val="0"/>
              <w:jc w:val="center"/>
              <w:rPr>
                <w:rFonts w:cstheme="minorHAnsi"/>
                <w:sz w:val="20"/>
                <w:szCs w:val="20"/>
              </w:rPr>
            </w:pPr>
            <w:r w:rsidRPr="003A184B">
              <w:rPr>
                <w:sz w:val="20"/>
                <w:szCs w:val="20"/>
              </w:rPr>
              <w:t>4.1</w:t>
            </w:r>
          </w:p>
        </w:tc>
        <w:tc>
          <w:tcPr>
            <w:tcW w:w="6120" w:type="dxa"/>
          </w:tcPr>
          <w:p w14:paraId="4DA2D994" w14:textId="77777777" w:rsidR="00FB1042" w:rsidRPr="003A184B" w:rsidRDefault="00FB1042" w:rsidP="003354F2">
            <w:pPr>
              <w:keepLines/>
              <w:widowControl w:val="0"/>
              <w:rPr>
                <w:b/>
                <w:color w:val="5B9BD5" w:themeColor="accent5"/>
                <w:sz w:val="20"/>
                <w:szCs w:val="20"/>
              </w:rPr>
            </w:pPr>
            <w:r w:rsidRPr="003A184B">
              <w:rPr>
                <w:b/>
                <w:color w:val="5B9BD5" w:themeColor="accent5"/>
                <w:sz w:val="20"/>
                <w:szCs w:val="20"/>
              </w:rPr>
              <w:t>CIRCULATION ET SÉCURITÉ ROUTIÈRE</w:t>
            </w:r>
          </w:p>
          <w:p w14:paraId="7BF5509A" w14:textId="77777777" w:rsidR="009C0FBF" w:rsidRDefault="009C0FBF" w:rsidP="003B6EEA">
            <w:pPr>
              <w:autoSpaceDE w:val="0"/>
              <w:autoSpaceDN w:val="0"/>
              <w:adjustRightInd w:val="0"/>
              <w:jc w:val="both"/>
              <w:rPr>
                <w:rFonts w:ascii="CIDFont+F1" w:hAnsi="CIDFont+F1" w:cs="CIDFont+F1"/>
                <w:sz w:val="20"/>
                <w:szCs w:val="20"/>
              </w:rPr>
            </w:pPr>
            <w:r w:rsidRPr="009C0FBF">
              <w:rPr>
                <w:rFonts w:ascii="CIDFont+F1" w:hAnsi="CIDFont+F1" w:cs="CIDFont+F1"/>
                <w:sz w:val="20"/>
                <w:szCs w:val="20"/>
              </w:rPr>
              <w:t>Incorporer des mesures pour gérer les risques liés à la circulation et à la sécurité routière comme requis dans le PGES à préparer dans le cadre de l'action [1.2] ci-dessus.</w:t>
            </w:r>
          </w:p>
          <w:p w14:paraId="4DA2D995" w14:textId="330340FA" w:rsidR="00FB1042" w:rsidRPr="003A184B" w:rsidRDefault="00FB1042" w:rsidP="00E52E94">
            <w:pPr>
              <w:autoSpaceDE w:val="0"/>
              <w:autoSpaceDN w:val="0"/>
              <w:adjustRightInd w:val="0"/>
              <w:jc w:val="both"/>
              <w:rPr>
                <w:rFonts w:cstheme="minorHAnsi"/>
                <w:sz w:val="20"/>
                <w:szCs w:val="20"/>
              </w:rPr>
            </w:pPr>
          </w:p>
        </w:tc>
        <w:tc>
          <w:tcPr>
            <w:tcW w:w="3780" w:type="dxa"/>
          </w:tcPr>
          <w:p w14:paraId="3766837A" w14:textId="77777777" w:rsidR="003960FA" w:rsidRPr="003A184B" w:rsidRDefault="003960FA" w:rsidP="00190E90">
            <w:pPr>
              <w:autoSpaceDE w:val="0"/>
              <w:autoSpaceDN w:val="0"/>
              <w:adjustRightInd w:val="0"/>
              <w:rPr>
                <w:rFonts w:ascii="CIDFont+F6" w:hAnsi="CIDFont+F6" w:cs="CIDFont+F6"/>
                <w:sz w:val="20"/>
                <w:szCs w:val="20"/>
              </w:rPr>
            </w:pPr>
          </w:p>
          <w:p w14:paraId="04F4C751" w14:textId="60AF7C56" w:rsidR="00FB1042" w:rsidRPr="003A184B" w:rsidRDefault="00190E90" w:rsidP="003960FA">
            <w:pPr>
              <w:autoSpaceDE w:val="0"/>
              <w:autoSpaceDN w:val="0"/>
              <w:adjustRightInd w:val="0"/>
              <w:rPr>
                <w:rFonts w:ascii="CIDFont+F6" w:hAnsi="CIDFont+F6" w:cs="CIDFont+F6"/>
                <w:sz w:val="20"/>
                <w:szCs w:val="20"/>
              </w:rPr>
            </w:pPr>
            <w:r w:rsidRPr="003A184B">
              <w:rPr>
                <w:rFonts w:ascii="CIDFont+F6" w:hAnsi="CIDFont+F6" w:cs="CIDFont+F6"/>
                <w:sz w:val="20"/>
                <w:szCs w:val="20"/>
              </w:rPr>
              <w:t>Avant le démarrage des travaux et mise en</w:t>
            </w:r>
            <w:r w:rsidR="003960FA" w:rsidRPr="003A184B">
              <w:rPr>
                <w:rFonts w:ascii="CIDFont+F6" w:hAnsi="CIDFont+F6" w:cs="CIDFont+F6"/>
                <w:sz w:val="20"/>
                <w:szCs w:val="20"/>
              </w:rPr>
              <w:t xml:space="preserve"> </w:t>
            </w:r>
            <w:r w:rsidRPr="003A184B">
              <w:rPr>
                <w:rFonts w:ascii="CIDFont+F6" w:hAnsi="CIDFont+F6" w:cs="CIDFont+F6"/>
                <w:sz w:val="20"/>
                <w:szCs w:val="20"/>
              </w:rPr>
              <w:t>œuvre pendant le cycle de vie du Projet</w:t>
            </w:r>
          </w:p>
          <w:p w14:paraId="34D2A696" w14:textId="77777777" w:rsidR="00190E90" w:rsidRPr="003A184B" w:rsidRDefault="00190E90" w:rsidP="00E52E94">
            <w:pPr>
              <w:rPr>
                <w:rFonts w:cstheme="minorHAnsi"/>
                <w:sz w:val="20"/>
                <w:szCs w:val="20"/>
              </w:rPr>
            </w:pPr>
          </w:p>
          <w:p w14:paraId="4DA2D996" w14:textId="005EAA8C" w:rsidR="00190E90" w:rsidRPr="003A184B" w:rsidRDefault="00190E90" w:rsidP="00E52E94">
            <w:pPr>
              <w:tabs>
                <w:tab w:val="left" w:pos="967"/>
              </w:tabs>
              <w:rPr>
                <w:rFonts w:cstheme="minorHAnsi"/>
                <w:sz w:val="20"/>
                <w:szCs w:val="20"/>
              </w:rPr>
            </w:pPr>
          </w:p>
        </w:tc>
        <w:tc>
          <w:tcPr>
            <w:tcW w:w="3690" w:type="dxa"/>
          </w:tcPr>
          <w:p w14:paraId="7EC1F5A6" w14:textId="77777777" w:rsidR="003960FA" w:rsidRPr="003A184B" w:rsidRDefault="003960FA" w:rsidP="00390F60">
            <w:pPr>
              <w:autoSpaceDE w:val="0"/>
              <w:autoSpaceDN w:val="0"/>
              <w:adjustRightInd w:val="0"/>
              <w:rPr>
                <w:rFonts w:ascii="CIDFont+F6" w:hAnsi="CIDFont+F6" w:cs="CIDFont+F6"/>
                <w:sz w:val="20"/>
                <w:szCs w:val="20"/>
              </w:rPr>
            </w:pPr>
          </w:p>
          <w:p w14:paraId="72D9B4AD" w14:textId="77777777" w:rsidR="003B6EEA" w:rsidRPr="003A184B" w:rsidRDefault="00390F60" w:rsidP="003B6EEA">
            <w:pPr>
              <w:autoSpaceDE w:val="0"/>
              <w:autoSpaceDN w:val="0"/>
              <w:adjustRightInd w:val="0"/>
              <w:rPr>
                <w:rFonts w:ascii="CIDFont+F6" w:hAnsi="CIDFont+F6" w:cs="CIDFont+F6"/>
                <w:sz w:val="20"/>
                <w:szCs w:val="20"/>
              </w:rPr>
            </w:pPr>
            <w:proofErr w:type="spellStart"/>
            <w:r w:rsidRPr="003A184B">
              <w:rPr>
                <w:rFonts w:ascii="CIDFont+F6" w:hAnsi="CIDFont+F6" w:cs="CIDFont+F6"/>
                <w:sz w:val="20"/>
                <w:szCs w:val="20"/>
              </w:rPr>
              <w:t>UGP</w:t>
            </w:r>
            <w:r w:rsidR="003B6EEA" w:rsidRPr="003A184B">
              <w:rPr>
                <w:rFonts w:ascii="CIDFont+F6" w:hAnsi="CIDFont+F6" w:cs="CIDFont+F6"/>
                <w:sz w:val="20"/>
                <w:szCs w:val="20"/>
              </w:rPr>
              <w:t>R</w:t>
            </w:r>
            <w:r w:rsidR="0045611D" w:rsidRPr="003A184B">
              <w:rPr>
                <w:rFonts w:ascii="CIDFont+F6" w:hAnsi="CIDFont+F6" w:cs="CIDFont+F6"/>
                <w:sz w:val="20"/>
                <w:szCs w:val="20"/>
              </w:rPr>
              <w:t>s</w:t>
            </w:r>
            <w:proofErr w:type="spellEnd"/>
          </w:p>
          <w:p w14:paraId="4DA2D997" w14:textId="110B7A47" w:rsidR="00FB1042" w:rsidRPr="003A184B" w:rsidRDefault="003B6EEA" w:rsidP="003B6EEA">
            <w:pPr>
              <w:autoSpaceDE w:val="0"/>
              <w:autoSpaceDN w:val="0"/>
              <w:adjustRightInd w:val="0"/>
              <w:rPr>
                <w:rFonts w:ascii="CIDFont+F6" w:hAnsi="CIDFont+F6" w:cs="CIDFont+F6"/>
                <w:sz w:val="20"/>
                <w:szCs w:val="20"/>
              </w:rPr>
            </w:pPr>
            <w:r w:rsidRPr="003A184B">
              <w:rPr>
                <w:rFonts w:ascii="CIDFont+F1" w:hAnsi="CIDFont+F1" w:cs="CIDFont+F1"/>
                <w:sz w:val="20"/>
                <w:szCs w:val="20"/>
              </w:rPr>
              <w:t xml:space="preserve">Prestataires et/ou fournisseurs de services </w:t>
            </w:r>
          </w:p>
        </w:tc>
      </w:tr>
      <w:tr w:rsidR="00B719DE" w:rsidRPr="003A184B" w14:paraId="4DA2D99F" w14:textId="77777777" w:rsidTr="2748EF3C">
        <w:trPr>
          <w:cantSplit/>
          <w:trHeight w:val="20"/>
        </w:trPr>
        <w:tc>
          <w:tcPr>
            <w:tcW w:w="715" w:type="dxa"/>
          </w:tcPr>
          <w:p w14:paraId="4DA2D999" w14:textId="77777777" w:rsidR="00B719DE" w:rsidRPr="003A184B" w:rsidRDefault="00B719DE" w:rsidP="00B719DE">
            <w:pPr>
              <w:keepLines/>
              <w:widowControl w:val="0"/>
              <w:jc w:val="center"/>
              <w:rPr>
                <w:rFonts w:cstheme="minorHAnsi"/>
                <w:sz w:val="20"/>
                <w:szCs w:val="20"/>
              </w:rPr>
            </w:pPr>
            <w:r w:rsidRPr="003A184B">
              <w:rPr>
                <w:sz w:val="20"/>
                <w:szCs w:val="20"/>
              </w:rPr>
              <w:lastRenderedPageBreak/>
              <w:t>4.2</w:t>
            </w:r>
          </w:p>
        </w:tc>
        <w:tc>
          <w:tcPr>
            <w:tcW w:w="6120" w:type="dxa"/>
          </w:tcPr>
          <w:p w14:paraId="4DA2D99A" w14:textId="77777777" w:rsidR="00B719DE" w:rsidRPr="003A184B" w:rsidRDefault="00B719DE" w:rsidP="00B719DE">
            <w:pPr>
              <w:keepLines/>
              <w:widowControl w:val="0"/>
              <w:rPr>
                <w:b/>
                <w:color w:val="5B9BD5" w:themeColor="accent5"/>
                <w:sz w:val="20"/>
                <w:szCs w:val="20"/>
              </w:rPr>
            </w:pPr>
            <w:r w:rsidRPr="003A184B">
              <w:rPr>
                <w:b/>
                <w:color w:val="5B9BD5" w:themeColor="accent5"/>
                <w:sz w:val="20"/>
                <w:szCs w:val="20"/>
              </w:rPr>
              <w:t>SANTÉ ET SÉCURITÉ DES POPULATIONS</w:t>
            </w:r>
          </w:p>
          <w:p w14:paraId="23DAD906" w14:textId="77777777" w:rsidR="009C0FBF" w:rsidRDefault="009C0FBF" w:rsidP="00B719DE">
            <w:pPr>
              <w:autoSpaceDE w:val="0"/>
              <w:autoSpaceDN w:val="0"/>
              <w:adjustRightInd w:val="0"/>
              <w:rPr>
                <w:rFonts w:ascii="CIDFont+F1" w:hAnsi="CIDFont+F1" w:cs="CIDFont+F1"/>
                <w:sz w:val="20"/>
                <w:szCs w:val="20"/>
              </w:rPr>
            </w:pPr>
            <w:r w:rsidRPr="009C0FBF">
              <w:rPr>
                <w:rFonts w:ascii="CIDFont+F1" w:hAnsi="CIDFont+F1" w:cs="CIDFont+F1"/>
                <w:sz w:val="20"/>
                <w:szCs w:val="20"/>
              </w:rPr>
              <w:t>Évaluer et gérer les risques et impacts spécifiques sur la communauté résultant des activités du projet (comportement des travailleurs du projet, risques d'afflux de main-d'œuvre, réponse aux situations d'urgence) et inclure des mesures d'atténuation dans les PGES à préparer conformément au CGES.</w:t>
            </w:r>
          </w:p>
          <w:p w14:paraId="4DA2D99B" w14:textId="0ADB94CC" w:rsidR="00B719DE" w:rsidRPr="003A184B" w:rsidRDefault="00B719DE" w:rsidP="001E2BE9">
            <w:pPr>
              <w:autoSpaceDE w:val="0"/>
              <w:autoSpaceDN w:val="0"/>
              <w:adjustRightInd w:val="0"/>
              <w:jc w:val="both"/>
              <w:rPr>
                <w:rFonts w:cstheme="minorHAnsi"/>
                <w:sz w:val="20"/>
                <w:szCs w:val="20"/>
              </w:rPr>
            </w:pPr>
          </w:p>
        </w:tc>
        <w:tc>
          <w:tcPr>
            <w:tcW w:w="3780" w:type="dxa"/>
          </w:tcPr>
          <w:p w14:paraId="655F9E58" w14:textId="77AE0E01" w:rsidR="00B719DE" w:rsidRPr="003A184B" w:rsidRDefault="00B719DE" w:rsidP="00B719DE">
            <w:pPr>
              <w:keepLines/>
              <w:widowControl w:val="0"/>
              <w:rPr>
                <w:sz w:val="20"/>
                <w:szCs w:val="20"/>
              </w:rPr>
            </w:pPr>
          </w:p>
          <w:p w14:paraId="5CBDEB3B" w14:textId="33569DED" w:rsidR="00B719DE" w:rsidRPr="003A184B" w:rsidRDefault="00B719DE" w:rsidP="00B719DE">
            <w:pPr>
              <w:autoSpaceDE w:val="0"/>
              <w:autoSpaceDN w:val="0"/>
              <w:adjustRightInd w:val="0"/>
              <w:rPr>
                <w:rFonts w:ascii="CIDFont+F6" w:hAnsi="CIDFont+F6" w:cs="CIDFont+F6"/>
                <w:sz w:val="20"/>
                <w:szCs w:val="20"/>
              </w:rPr>
            </w:pPr>
            <w:r w:rsidRPr="003A184B">
              <w:rPr>
                <w:rFonts w:ascii="CIDFont+F6" w:hAnsi="CIDFont+F6" w:cs="CIDFont+F6"/>
                <w:sz w:val="20"/>
                <w:szCs w:val="20"/>
              </w:rPr>
              <w:t>Avant le démarrage physique des travaux et maintenu tout au long de la phase de mise en œuvre des activités du Projet.</w:t>
            </w:r>
          </w:p>
          <w:p w14:paraId="4DA2D99C" w14:textId="651FF417" w:rsidR="00B719DE" w:rsidRPr="003A184B" w:rsidRDefault="00B719DE" w:rsidP="00B719DE">
            <w:pPr>
              <w:autoSpaceDE w:val="0"/>
              <w:autoSpaceDN w:val="0"/>
              <w:adjustRightInd w:val="0"/>
              <w:jc w:val="both"/>
              <w:rPr>
                <w:rFonts w:cstheme="minorHAnsi"/>
                <w:sz w:val="20"/>
                <w:szCs w:val="20"/>
              </w:rPr>
            </w:pPr>
          </w:p>
        </w:tc>
        <w:tc>
          <w:tcPr>
            <w:tcW w:w="3690" w:type="dxa"/>
          </w:tcPr>
          <w:p w14:paraId="77CCC858" w14:textId="77777777" w:rsidR="00B719DE" w:rsidRPr="003A184B" w:rsidRDefault="00B719DE" w:rsidP="00B719DE">
            <w:pPr>
              <w:autoSpaceDE w:val="0"/>
              <w:autoSpaceDN w:val="0"/>
              <w:adjustRightInd w:val="0"/>
              <w:rPr>
                <w:rFonts w:ascii="CIDFont+F6" w:hAnsi="CIDFont+F6" w:cs="CIDFont+F6"/>
                <w:sz w:val="20"/>
                <w:szCs w:val="20"/>
              </w:rPr>
            </w:pPr>
          </w:p>
          <w:p w14:paraId="062ED5ED" w14:textId="77777777" w:rsidR="00B719DE" w:rsidRPr="003A184B" w:rsidRDefault="00B719DE" w:rsidP="00B719DE">
            <w:pPr>
              <w:autoSpaceDE w:val="0"/>
              <w:autoSpaceDN w:val="0"/>
              <w:adjustRightInd w:val="0"/>
              <w:rPr>
                <w:rFonts w:ascii="CIDFont+F6" w:hAnsi="CIDFont+F6" w:cs="CIDFont+F6"/>
                <w:sz w:val="20"/>
                <w:szCs w:val="20"/>
              </w:rPr>
            </w:pPr>
            <w:proofErr w:type="spellStart"/>
            <w:r w:rsidRPr="003A184B">
              <w:rPr>
                <w:rFonts w:ascii="CIDFont+F6" w:hAnsi="CIDFont+F6" w:cs="CIDFont+F6"/>
                <w:sz w:val="20"/>
                <w:szCs w:val="20"/>
              </w:rPr>
              <w:t>UGPRs</w:t>
            </w:r>
            <w:proofErr w:type="spellEnd"/>
          </w:p>
          <w:p w14:paraId="4DA2D99E" w14:textId="4DD1A59C" w:rsidR="00B719DE" w:rsidRPr="003A184B" w:rsidRDefault="00B719DE" w:rsidP="00B719DE">
            <w:pPr>
              <w:autoSpaceDE w:val="0"/>
              <w:autoSpaceDN w:val="0"/>
              <w:adjustRightInd w:val="0"/>
              <w:jc w:val="both"/>
              <w:rPr>
                <w:rFonts w:cstheme="minorHAnsi"/>
                <w:sz w:val="20"/>
                <w:szCs w:val="20"/>
              </w:rPr>
            </w:pPr>
            <w:r w:rsidRPr="003A184B">
              <w:rPr>
                <w:rFonts w:ascii="CIDFont+F1" w:hAnsi="CIDFont+F1" w:cs="CIDFont+F1"/>
                <w:sz w:val="20"/>
                <w:szCs w:val="20"/>
              </w:rPr>
              <w:t xml:space="preserve">Prestataires et/ou fournisseurs de services </w:t>
            </w:r>
          </w:p>
        </w:tc>
      </w:tr>
      <w:tr w:rsidR="00FB1042" w:rsidRPr="003A184B" w14:paraId="4DA2D9A5" w14:textId="77777777" w:rsidTr="2748EF3C">
        <w:trPr>
          <w:cantSplit/>
          <w:trHeight w:val="20"/>
        </w:trPr>
        <w:tc>
          <w:tcPr>
            <w:tcW w:w="715" w:type="dxa"/>
          </w:tcPr>
          <w:p w14:paraId="4DA2D9A0" w14:textId="77777777" w:rsidR="00FB1042" w:rsidRPr="003A184B" w:rsidRDefault="00FB1042" w:rsidP="003354F2">
            <w:pPr>
              <w:keepLines/>
              <w:widowControl w:val="0"/>
              <w:jc w:val="center"/>
              <w:rPr>
                <w:rFonts w:cstheme="minorHAnsi"/>
                <w:sz w:val="20"/>
                <w:szCs w:val="20"/>
              </w:rPr>
            </w:pPr>
            <w:r w:rsidRPr="003A184B">
              <w:rPr>
                <w:sz w:val="20"/>
                <w:szCs w:val="20"/>
              </w:rPr>
              <w:t>4.3</w:t>
            </w:r>
          </w:p>
        </w:tc>
        <w:tc>
          <w:tcPr>
            <w:tcW w:w="6120" w:type="dxa"/>
          </w:tcPr>
          <w:p w14:paraId="4DA2D9A1" w14:textId="6B5C41E2" w:rsidR="00FB1042" w:rsidRPr="003A184B" w:rsidRDefault="001D24D9" w:rsidP="00E52E94">
            <w:pPr>
              <w:autoSpaceDE w:val="0"/>
              <w:autoSpaceDN w:val="0"/>
              <w:adjustRightInd w:val="0"/>
              <w:rPr>
                <w:b/>
                <w:bCs/>
                <w:color w:val="5B9BD5" w:themeColor="accent5"/>
                <w:sz w:val="20"/>
                <w:szCs w:val="20"/>
              </w:rPr>
            </w:pPr>
            <w:r w:rsidRPr="003A184B">
              <w:rPr>
                <w:b/>
                <w:bCs/>
                <w:color w:val="5B9BD5" w:themeColor="accent5"/>
                <w:sz w:val="20"/>
                <w:szCs w:val="20"/>
              </w:rPr>
              <w:t>RISQUES DE VIOLENCES BASEES SUR LE GENRE ET D’EXPLOITATION ET ABUS SEXUELS ET HARCELEMENT SEXUEL</w:t>
            </w:r>
          </w:p>
          <w:p w14:paraId="351CA1CC" w14:textId="1D92EA22" w:rsidR="00F10396" w:rsidRDefault="00B719DE" w:rsidP="00165946">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Mener</w:t>
            </w:r>
            <w:r w:rsidR="007C4C98" w:rsidRPr="003A184B">
              <w:rPr>
                <w:rFonts w:ascii="CIDFont+F1" w:hAnsi="CIDFont+F1" w:cs="CIDFont+F1"/>
                <w:sz w:val="20"/>
                <w:szCs w:val="20"/>
              </w:rPr>
              <w:t xml:space="preserve"> une évaluation des risques d</w:t>
            </w:r>
            <w:r w:rsidRPr="003A184B">
              <w:rPr>
                <w:rFonts w:ascii="CIDFont+F1" w:hAnsi="CIDFont+F1" w:cs="CIDFont+F1"/>
                <w:sz w:val="20"/>
                <w:szCs w:val="20"/>
              </w:rPr>
              <w:t>’E</w:t>
            </w:r>
            <w:r w:rsidR="007C4C98" w:rsidRPr="003A184B">
              <w:rPr>
                <w:rFonts w:ascii="CIDFont+F1" w:hAnsi="CIDFont+F1" w:cs="CIDFont+F1"/>
                <w:sz w:val="20"/>
                <w:szCs w:val="20"/>
              </w:rPr>
              <w:t>AS/HS dans le</w:t>
            </w:r>
            <w:r w:rsidR="00240BF9" w:rsidRPr="003A184B">
              <w:rPr>
                <w:rFonts w:ascii="CIDFont+F1" w:hAnsi="CIDFont+F1" w:cs="CIDFont+F1"/>
                <w:sz w:val="20"/>
                <w:szCs w:val="20"/>
              </w:rPr>
              <w:t xml:space="preserve"> </w:t>
            </w:r>
            <w:r w:rsidR="007C4C98" w:rsidRPr="003A184B">
              <w:rPr>
                <w:rFonts w:ascii="CIDFont+F1" w:hAnsi="CIDFont+F1" w:cs="CIDFont+F1"/>
                <w:sz w:val="20"/>
                <w:szCs w:val="20"/>
              </w:rPr>
              <w:t>cadre de l'évaluation des impacts sociaux du projet y compris un</w:t>
            </w:r>
            <w:r w:rsidRPr="003A184B">
              <w:rPr>
                <w:rFonts w:ascii="CIDFont+F1" w:hAnsi="CIDFont+F1" w:cs="CIDFont+F1"/>
                <w:sz w:val="20"/>
                <w:szCs w:val="20"/>
              </w:rPr>
              <w:t xml:space="preserve">e cartographie </w:t>
            </w:r>
            <w:r w:rsidR="007C4C98" w:rsidRPr="003A184B">
              <w:rPr>
                <w:rFonts w:ascii="CIDFont+F1" w:hAnsi="CIDFont+F1" w:cs="CIDFont+F1"/>
                <w:sz w:val="20"/>
                <w:szCs w:val="20"/>
              </w:rPr>
              <w:t>des structures intervenant dans ce domaine et une évaluation de leur</w:t>
            </w:r>
            <w:r w:rsidR="00240BF9" w:rsidRPr="003A184B">
              <w:rPr>
                <w:rFonts w:ascii="CIDFont+F1" w:hAnsi="CIDFont+F1" w:cs="CIDFont+F1"/>
                <w:sz w:val="20"/>
                <w:szCs w:val="20"/>
              </w:rPr>
              <w:t xml:space="preserve"> </w:t>
            </w:r>
            <w:r w:rsidR="007C4C98" w:rsidRPr="003A184B">
              <w:rPr>
                <w:rFonts w:ascii="CIDFont+F1" w:hAnsi="CIDFont+F1" w:cs="CIDFont+F1"/>
                <w:sz w:val="20"/>
                <w:szCs w:val="20"/>
              </w:rPr>
              <w:t>niveau de fonctionnement afin de développer un protocole de réponse</w:t>
            </w:r>
            <w:r w:rsidR="00240BF9" w:rsidRPr="003A184B">
              <w:rPr>
                <w:rFonts w:ascii="CIDFont+F1" w:hAnsi="CIDFont+F1" w:cs="CIDFont+F1"/>
                <w:sz w:val="20"/>
                <w:szCs w:val="20"/>
              </w:rPr>
              <w:t xml:space="preserve"> </w:t>
            </w:r>
            <w:r w:rsidR="007C4C98" w:rsidRPr="003A184B">
              <w:rPr>
                <w:rFonts w:ascii="CIDFont+F1" w:hAnsi="CIDFont+F1" w:cs="CIDFont+F1"/>
                <w:sz w:val="20"/>
                <w:szCs w:val="20"/>
              </w:rPr>
              <w:t xml:space="preserve">permettant au projet de référer </w:t>
            </w:r>
            <w:r w:rsidRPr="003A184B">
              <w:rPr>
                <w:rFonts w:ascii="CIDFont+F1" w:hAnsi="CIDFont+F1" w:cs="CIDFont+F1"/>
                <w:sz w:val="20"/>
                <w:szCs w:val="20"/>
              </w:rPr>
              <w:t>les survivants</w:t>
            </w:r>
            <w:r w:rsidR="007C4C98" w:rsidRPr="003A184B">
              <w:rPr>
                <w:rFonts w:ascii="CIDFont+F1" w:hAnsi="CIDFont+F1" w:cs="CIDFont+F1"/>
                <w:sz w:val="20"/>
                <w:szCs w:val="20"/>
              </w:rPr>
              <w:t xml:space="preserve"> </w:t>
            </w:r>
            <w:r w:rsidRPr="003A184B">
              <w:rPr>
                <w:rFonts w:ascii="CIDFont+F1" w:hAnsi="CIDFont+F1" w:cs="CIDFont+F1"/>
                <w:sz w:val="20"/>
                <w:szCs w:val="20"/>
              </w:rPr>
              <w:t xml:space="preserve">qui ont signalé </w:t>
            </w:r>
            <w:r w:rsidR="007C4C98" w:rsidRPr="003A184B">
              <w:rPr>
                <w:rFonts w:ascii="CIDFont+F1" w:hAnsi="CIDFont+F1" w:cs="CIDFont+F1"/>
                <w:sz w:val="20"/>
                <w:szCs w:val="20"/>
              </w:rPr>
              <w:t>un</w:t>
            </w:r>
            <w:r w:rsidR="00240BF9" w:rsidRPr="003A184B">
              <w:rPr>
                <w:rFonts w:ascii="CIDFont+F1" w:hAnsi="CIDFont+F1" w:cs="CIDFont+F1"/>
                <w:sz w:val="20"/>
                <w:szCs w:val="20"/>
              </w:rPr>
              <w:t xml:space="preserve"> </w:t>
            </w:r>
            <w:r w:rsidR="007C4C98" w:rsidRPr="003A184B">
              <w:rPr>
                <w:rFonts w:ascii="CIDFont+F1" w:hAnsi="CIDFont+F1" w:cs="CIDFont+F1"/>
                <w:sz w:val="20"/>
                <w:szCs w:val="20"/>
              </w:rPr>
              <w:t xml:space="preserve">incident de EAS/HS au projet </w:t>
            </w:r>
            <w:r w:rsidRPr="003A184B">
              <w:rPr>
                <w:rFonts w:ascii="CIDFont+F1" w:hAnsi="CIDFont+F1" w:cs="CIDFont+F1"/>
                <w:sz w:val="20"/>
                <w:szCs w:val="20"/>
              </w:rPr>
              <w:t>auprès</w:t>
            </w:r>
            <w:r w:rsidR="007C4C98" w:rsidRPr="003A184B">
              <w:rPr>
                <w:rFonts w:ascii="CIDFont+F1" w:hAnsi="CIDFont+F1" w:cs="CIDFont+F1"/>
                <w:sz w:val="20"/>
                <w:szCs w:val="20"/>
              </w:rPr>
              <w:t xml:space="preserve"> des services de prise en charge de</w:t>
            </w:r>
            <w:r w:rsidR="00240BF9" w:rsidRPr="003A184B">
              <w:rPr>
                <w:rFonts w:ascii="CIDFont+F1" w:hAnsi="CIDFont+F1" w:cs="CIDFont+F1"/>
                <w:sz w:val="20"/>
                <w:szCs w:val="20"/>
              </w:rPr>
              <w:t xml:space="preserve"> </w:t>
            </w:r>
            <w:r w:rsidR="007C4C98" w:rsidRPr="003A184B">
              <w:rPr>
                <w:rFonts w:ascii="CIDFont+F1" w:hAnsi="CIDFont+F1" w:cs="CIDFont+F1"/>
                <w:sz w:val="20"/>
                <w:szCs w:val="20"/>
              </w:rPr>
              <w:t>qualité. Sur ce</w:t>
            </w:r>
            <w:r w:rsidR="00240BF9" w:rsidRPr="003A184B">
              <w:rPr>
                <w:rFonts w:ascii="CIDFont+F1" w:hAnsi="CIDFont+F1" w:cs="CIDFont+F1"/>
                <w:sz w:val="20"/>
                <w:szCs w:val="20"/>
              </w:rPr>
              <w:t>tte</w:t>
            </w:r>
            <w:r w:rsidR="007C4C98" w:rsidRPr="003A184B">
              <w:rPr>
                <w:rFonts w:ascii="CIDFont+F1" w:hAnsi="CIDFont+F1" w:cs="CIDFont+F1"/>
                <w:sz w:val="20"/>
                <w:szCs w:val="20"/>
              </w:rPr>
              <w:t xml:space="preserve"> base, l</w:t>
            </w:r>
            <w:r w:rsidRPr="003A184B">
              <w:rPr>
                <w:rFonts w:ascii="CIDFont+F1" w:hAnsi="CIDFont+F1" w:cs="CIDFont+F1"/>
                <w:sz w:val="20"/>
                <w:szCs w:val="20"/>
              </w:rPr>
              <w:t>’Emprunteur</w:t>
            </w:r>
            <w:r w:rsidR="00240BF9" w:rsidRPr="003A184B">
              <w:rPr>
                <w:rFonts w:ascii="CIDFont+F1" w:hAnsi="CIDFont+F1" w:cs="CIDFont+F1"/>
                <w:sz w:val="20"/>
                <w:szCs w:val="20"/>
              </w:rPr>
              <w:t xml:space="preserve">/UGP </w:t>
            </w:r>
            <w:r w:rsidR="007C4C98" w:rsidRPr="003A184B">
              <w:rPr>
                <w:rFonts w:ascii="CIDFont+F1" w:hAnsi="CIDFont+F1" w:cs="CIDFont+F1"/>
                <w:sz w:val="20"/>
                <w:szCs w:val="20"/>
              </w:rPr>
              <w:t>élaborera</w:t>
            </w:r>
            <w:r w:rsidRPr="003A184B">
              <w:rPr>
                <w:rFonts w:ascii="CIDFont+F1" w:hAnsi="CIDFont+F1" w:cs="CIDFont+F1"/>
                <w:sz w:val="20"/>
                <w:szCs w:val="20"/>
              </w:rPr>
              <w:t xml:space="preserve"> et respectera</w:t>
            </w:r>
            <w:r w:rsidR="007C4C98" w:rsidRPr="003A184B">
              <w:rPr>
                <w:rFonts w:ascii="CIDFont+F1" w:hAnsi="CIDFont+F1" w:cs="CIDFont+F1"/>
                <w:sz w:val="20"/>
                <w:szCs w:val="20"/>
              </w:rPr>
              <w:t xml:space="preserve"> un Plan d'Action EAS/HS</w:t>
            </w:r>
            <w:r w:rsidR="00F10396" w:rsidRPr="003A184B">
              <w:rPr>
                <w:rFonts w:ascii="CIDFont+F1" w:hAnsi="CIDFont+F1" w:cs="CIDFont+F1"/>
                <w:sz w:val="20"/>
                <w:szCs w:val="20"/>
              </w:rPr>
              <w:t xml:space="preserve"> </w:t>
            </w:r>
            <w:r w:rsidR="007C4C98" w:rsidRPr="003A184B">
              <w:rPr>
                <w:rFonts w:ascii="CIDFont+F1" w:hAnsi="CIDFont+F1" w:cs="CIDFont+F1"/>
                <w:sz w:val="20"/>
                <w:szCs w:val="20"/>
              </w:rPr>
              <w:t>qui sera annexée au CGES et informera le PGES-C du projet, en</w:t>
            </w:r>
            <w:r w:rsidR="00F10396" w:rsidRPr="003A184B">
              <w:rPr>
                <w:rFonts w:ascii="CIDFont+F1" w:hAnsi="CIDFont+F1" w:cs="CIDFont+F1"/>
                <w:sz w:val="20"/>
                <w:szCs w:val="20"/>
              </w:rPr>
              <w:t xml:space="preserve"> </w:t>
            </w:r>
            <w:r w:rsidR="007C4C98" w:rsidRPr="003A184B">
              <w:rPr>
                <w:rFonts w:ascii="CIDFont+F1" w:hAnsi="CIDFont+F1" w:cs="CIDFont+F1"/>
                <w:sz w:val="20"/>
                <w:szCs w:val="20"/>
              </w:rPr>
              <w:t>respectant les dispositions nationales et les conventions ratifiées par le</w:t>
            </w:r>
            <w:r w:rsidR="00F10396" w:rsidRPr="003A184B">
              <w:rPr>
                <w:rFonts w:ascii="CIDFont+F1" w:hAnsi="CIDFont+F1" w:cs="CIDFont+F1"/>
                <w:sz w:val="20"/>
                <w:szCs w:val="20"/>
              </w:rPr>
              <w:t xml:space="preserve"> Maroc </w:t>
            </w:r>
            <w:r w:rsidR="007C4C98" w:rsidRPr="003A184B">
              <w:rPr>
                <w:rFonts w:ascii="CIDFont+F1" w:hAnsi="CIDFont+F1" w:cs="CIDFont+F1"/>
                <w:sz w:val="20"/>
                <w:szCs w:val="20"/>
              </w:rPr>
              <w:t>ainsi qu'un</w:t>
            </w:r>
            <w:r w:rsidR="00F10396" w:rsidRPr="003A184B">
              <w:rPr>
                <w:rFonts w:ascii="CIDFont+F1" w:hAnsi="CIDFont+F1" w:cs="CIDFont+F1"/>
                <w:sz w:val="20"/>
                <w:szCs w:val="20"/>
              </w:rPr>
              <w:t>e</w:t>
            </w:r>
            <w:r w:rsidR="007C4C98" w:rsidRPr="003A184B">
              <w:rPr>
                <w:rFonts w:ascii="CIDFont+F1" w:hAnsi="CIDFont+F1" w:cs="CIDFont+F1"/>
                <w:sz w:val="20"/>
                <w:szCs w:val="20"/>
              </w:rPr>
              <w:t xml:space="preserve"> approche axée sur les survivants.</w:t>
            </w:r>
          </w:p>
          <w:p w14:paraId="282CEAAD" w14:textId="77777777" w:rsidR="00165946" w:rsidRPr="003A184B" w:rsidRDefault="00165946" w:rsidP="00165946">
            <w:pPr>
              <w:autoSpaceDE w:val="0"/>
              <w:autoSpaceDN w:val="0"/>
              <w:adjustRightInd w:val="0"/>
              <w:jc w:val="both"/>
              <w:rPr>
                <w:rFonts w:ascii="CIDFont+F1" w:hAnsi="CIDFont+F1" w:cs="CIDFont+F1"/>
                <w:sz w:val="20"/>
                <w:szCs w:val="20"/>
              </w:rPr>
            </w:pPr>
          </w:p>
          <w:p w14:paraId="4C386E7B" w14:textId="4D755F7B" w:rsidR="007C4C98" w:rsidRPr="003A184B" w:rsidRDefault="007C4C98" w:rsidP="00E52E94">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Le plan d’action EAS/HS comportera au minimum des mesures de</w:t>
            </w:r>
            <w:r w:rsidR="00F10396" w:rsidRPr="003A184B">
              <w:rPr>
                <w:rFonts w:ascii="CIDFont+F1" w:hAnsi="CIDFont+F1" w:cs="CIDFont+F1"/>
                <w:sz w:val="20"/>
                <w:szCs w:val="20"/>
              </w:rPr>
              <w:t xml:space="preserve"> </w:t>
            </w:r>
            <w:r w:rsidRPr="003A184B">
              <w:rPr>
                <w:rFonts w:ascii="CIDFont+F1" w:hAnsi="CIDFont+F1" w:cs="CIDFont+F1"/>
                <w:sz w:val="20"/>
                <w:szCs w:val="20"/>
              </w:rPr>
              <w:t>sensibilisation, de prévention et d’atténuation des risques de EAS/HS,</w:t>
            </w:r>
            <w:r w:rsidR="00F10396" w:rsidRPr="003A184B">
              <w:rPr>
                <w:rFonts w:ascii="CIDFont+F1" w:hAnsi="CIDFont+F1" w:cs="CIDFont+F1"/>
                <w:sz w:val="20"/>
                <w:szCs w:val="20"/>
              </w:rPr>
              <w:t xml:space="preserve"> </w:t>
            </w:r>
            <w:r w:rsidRPr="003A184B">
              <w:rPr>
                <w:rFonts w:ascii="CIDFont+F1" w:hAnsi="CIDFont+F1" w:cs="CIDFont+F1"/>
                <w:sz w:val="20"/>
                <w:szCs w:val="20"/>
              </w:rPr>
              <w:t>ainsi qu’un code de bonne conduite qui sera signé par les</w:t>
            </w:r>
            <w:r w:rsidR="00F10396" w:rsidRPr="003A184B">
              <w:rPr>
                <w:rFonts w:ascii="CIDFont+F1" w:hAnsi="CIDFont+F1" w:cs="CIDFont+F1"/>
                <w:sz w:val="20"/>
                <w:szCs w:val="20"/>
              </w:rPr>
              <w:t xml:space="preserve"> </w:t>
            </w:r>
            <w:r w:rsidRPr="003A184B">
              <w:rPr>
                <w:rFonts w:ascii="CIDFont+F1" w:hAnsi="CIDFont+F1" w:cs="CIDFont+F1"/>
                <w:sz w:val="20"/>
                <w:szCs w:val="20"/>
              </w:rPr>
              <w:t>fournisseurs/prestataires et l’ensemble de leurs travailleurs. De même,</w:t>
            </w:r>
            <w:r w:rsidR="00F844E1" w:rsidRPr="003A184B">
              <w:rPr>
                <w:rFonts w:ascii="CIDFont+F1" w:hAnsi="CIDFont+F1" w:cs="CIDFont+F1"/>
                <w:sz w:val="20"/>
                <w:szCs w:val="20"/>
              </w:rPr>
              <w:t xml:space="preserve"> </w:t>
            </w:r>
            <w:r w:rsidRPr="003A184B">
              <w:rPr>
                <w:rFonts w:ascii="CIDFont+F1" w:hAnsi="CIDFont+F1" w:cs="CIDFont+F1"/>
                <w:sz w:val="20"/>
                <w:szCs w:val="20"/>
              </w:rPr>
              <w:t>ce plan inclura des formations sur les risques de EAS/HS, à l’intention des</w:t>
            </w:r>
            <w:r w:rsidR="00F844E1" w:rsidRPr="003A184B">
              <w:rPr>
                <w:rFonts w:ascii="CIDFont+F1" w:hAnsi="CIDFont+F1" w:cs="CIDFont+F1"/>
                <w:sz w:val="20"/>
                <w:szCs w:val="20"/>
              </w:rPr>
              <w:t xml:space="preserve"> </w:t>
            </w:r>
            <w:r w:rsidRPr="003A184B">
              <w:rPr>
                <w:rFonts w:ascii="CIDFont+F1" w:hAnsi="CIDFont+F1" w:cs="CIDFont+F1"/>
                <w:sz w:val="20"/>
                <w:szCs w:val="20"/>
              </w:rPr>
              <w:t>travailleurs, des populations locales, notamment les bénéficiaires du</w:t>
            </w:r>
            <w:r w:rsidR="00F844E1" w:rsidRPr="003A184B">
              <w:rPr>
                <w:rFonts w:ascii="CIDFont+F1" w:hAnsi="CIDFont+F1" w:cs="CIDFont+F1"/>
                <w:sz w:val="20"/>
                <w:szCs w:val="20"/>
              </w:rPr>
              <w:t xml:space="preserve"> </w:t>
            </w:r>
            <w:r w:rsidRPr="003A184B">
              <w:rPr>
                <w:rFonts w:ascii="CIDFont+F1" w:hAnsi="CIDFont+F1" w:cs="CIDFont+F1"/>
                <w:sz w:val="20"/>
                <w:szCs w:val="20"/>
              </w:rPr>
              <w:t>Pro</w:t>
            </w:r>
            <w:r w:rsidR="00F844E1" w:rsidRPr="003A184B">
              <w:rPr>
                <w:rFonts w:ascii="CIDFont+F1" w:hAnsi="CIDFont+F1" w:cs="CIDFont+F1"/>
                <w:sz w:val="20"/>
                <w:szCs w:val="20"/>
              </w:rPr>
              <w:t>jet,</w:t>
            </w:r>
            <w:r w:rsidRPr="003A184B">
              <w:rPr>
                <w:rFonts w:ascii="CIDFont+F1" w:hAnsi="CIDFont+F1" w:cs="CIDFont+F1"/>
                <w:sz w:val="20"/>
                <w:szCs w:val="20"/>
              </w:rPr>
              <w:t xml:space="preserve"> des consultations avec les communautés locales avec une</w:t>
            </w:r>
            <w:r w:rsidR="00F844E1" w:rsidRPr="003A184B">
              <w:rPr>
                <w:rFonts w:ascii="CIDFont+F1" w:hAnsi="CIDFont+F1" w:cs="CIDFont+F1"/>
                <w:sz w:val="20"/>
                <w:szCs w:val="20"/>
              </w:rPr>
              <w:t xml:space="preserve"> </w:t>
            </w:r>
            <w:r w:rsidRPr="003A184B">
              <w:rPr>
                <w:rFonts w:ascii="CIDFont+F1" w:hAnsi="CIDFont+F1" w:cs="CIDFont+F1"/>
                <w:sz w:val="20"/>
                <w:szCs w:val="20"/>
              </w:rPr>
              <w:t>attention particulière aux femmes</w:t>
            </w:r>
            <w:r w:rsidR="00AE517D" w:rsidRPr="003A184B">
              <w:rPr>
                <w:rFonts w:ascii="CIDFont+F1" w:hAnsi="CIDFont+F1" w:cs="CIDFont+F1"/>
                <w:sz w:val="20"/>
                <w:szCs w:val="20"/>
              </w:rPr>
              <w:t xml:space="preserve"> </w:t>
            </w:r>
            <w:r w:rsidRPr="003A184B">
              <w:rPr>
                <w:rFonts w:ascii="CIDFont+F1" w:hAnsi="CIDFont+F1" w:cs="CIDFont+F1"/>
                <w:sz w:val="20"/>
                <w:szCs w:val="20"/>
              </w:rPr>
              <w:t>et filles,</w:t>
            </w:r>
            <w:r w:rsidR="00AE517D" w:rsidRPr="003A184B">
              <w:rPr>
                <w:rFonts w:ascii="CIDFont+F1" w:hAnsi="CIDFont+F1" w:cs="CIDFont+F1"/>
                <w:sz w:val="20"/>
                <w:szCs w:val="20"/>
              </w:rPr>
              <w:t xml:space="preserve"> </w:t>
            </w:r>
            <w:r w:rsidRPr="003A184B">
              <w:rPr>
                <w:rFonts w:ascii="CIDFont+F1" w:hAnsi="CIDFont+F1" w:cs="CIDFont+F1"/>
                <w:sz w:val="20"/>
                <w:szCs w:val="20"/>
              </w:rPr>
              <w:t>la mise en place d’un dispositif de référencement sous-tendu par les</w:t>
            </w:r>
            <w:r w:rsidR="00AE517D" w:rsidRPr="003A184B">
              <w:rPr>
                <w:rFonts w:ascii="CIDFont+F1" w:hAnsi="CIDFont+F1" w:cs="CIDFont+F1"/>
                <w:sz w:val="20"/>
                <w:szCs w:val="20"/>
              </w:rPr>
              <w:t xml:space="preserve"> </w:t>
            </w:r>
            <w:r w:rsidRPr="003A184B">
              <w:rPr>
                <w:rFonts w:ascii="CIDFont+F1" w:hAnsi="CIDFont+F1" w:cs="CIDFont+F1"/>
                <w:sz w:val="20"/>
                <w:szCs w:val="20"/>
              </w:rPr>
              <w:t>résultats de la cartographie des services EAS/HS dans les zones</w:t>
            </w:r>
            <w:r w:rsidR="00AE517D" w:rsidRPr="003A184B">
              <w:rPr>
                <w:rFonts w:ascii="CIDFont+F1" w:hAnsi="CIDFont+F1" w:cs="CIDFont+F1"/>
                <w:sz w:val="20"/>
                <w:szCs w:val="20"/>
              </w:rPr>
              <w:t xml:space="preserve"> </w:t>
            </w:r>
            <w:r w:rsidRPr="003A184B">
              <w:rPr>
                <w:rFonts w:ascii="CIDFont+F1" w:hAnsi="CIDFont+F1" w:cs="CIDFont+F1"/>
                <w:sz w:val="20"/>
                <w:szCs w:val="20"/>
              </w:rPr>
              <w:t>d’intervention et des dispositions dans le MGP</w:t>
            </w:r>
            <w:r w:rsidR="00AE517D" w:rsidRPr="003A184B">
              <w:rPr>
                <w:rFonts w:ascii="CIDFont+F1" w:hAnsi="CIDFont+F1" w:cs="CIDFont+F1"/>
                <w:sz w:val="20"/>
                <w:szCs w:val="20"/>
              </w:rPr>
              <w:t xml:space="preserve"> </w:t>
            </w:r>
            <w:r w:rsidRPr="003A184B">
              <w:rPr>
                <w:rFonts w:ascii="CIDFont+F1" w:hAnsi="CIDFont+F1" w:cs="CIDFont+F1"/>
                <w:sz w:val="20"/>
                <w:szCs w:val="20"/>
              </w:rPr>
              <w:t xml:space="preserve">permettant </w:t>
            </w:r>
            <w:r w:rsidR="00B719DE" w:rsidRPr="003A184B">
              <w:rPr>
                <w:rFonts w:ascii="CIDFont+F1" w:hAnsi="CIDFont+F1" w:cs="CIDFont+F1"/>
                <w:sz w:val="20"/>
                <w:szCs w:val="20"/>
              </w:rPr>
              <w:t xml:space="preserve">une réception </w:t>
            </w:r>
            <w:r w:rsidRPr="003A184B">
              <w:rPr>
                <w:rFonts w:ascii="CIDFont+F1" w:hAnsi="CIDFont+F1" w:cs="CIDFont+F1"/>
                <w:sz w:val="20"/>
                <w:szCs w:val="20"/>
              </w:rPr>
              <w:t>et gestion des plaintes de EAS/HS éthique et</w:t>
            </w:r>
            <w:r w:rsidR="00AE517D" w:rsidRPr="003A184B">
              <w:rPr>
                <w:rFonts w:ascii="CIDFont+F1" w:hAnsi="CIDFont+F1" w:cs="CIDFont+F1"/>
                <w:sz w:val="20"/>
                <w:szCs w:val="20"/>
              </w:rPr>
              <w:t xml:space="preserve"> </w:t>
            </w:r>
            <w:r w:rsidRPr="003A184B">
              <w:rPr>
                <w:rFonts w:ascii="CIDFont+F1" w:hAnsi="CIDFont+F1" w:cs="CIDFont+F1"/>
                <w:sz w:val="20"/>
                <w:szCs w:val="20"/>
              </w:rPr>
              <w:t>confidentielle, conformément à une approche axée sur les survivants.</w:t>
            </w:r>
          </w:p>
          <w:p w14:paraId="7EFC414C" w14:textId="77777777" w:rsidR="00B719DE" w:rsidRPr="003A184B" w:rsidRDefault="00B719DE" w:rsidP="00E52E94">
            <w:pPr>
              <w:autoSpaceDE w:val="0"/>
              <w:autoSpaceDN w:val="0"/>
              <w:adjustRightInd w:val="0"/>
              <w:jc w:val="both"/>
              <w:rPr>
                <w:rFonts w:ascii="CIDFont+F1" w:hAnsi="CIDFont+F1" w:cs="CIDFont+F1"/>
                <w:sz w:val="20"/>
                <w:szCs w:val="20"/>
              </w:rPr>
            </w:pPr>
          </w:p>
          <w:p w14:paraId="1D4AE3A1" w14:textId="7D44EF45" w:rsidR="00B719DE" w:rsidRPr="003A184B" w:rsidRDefault="00B719DE" w:rsidP="00B719DE">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 xml:space="preserve">Veiller à ce que tous les documents d'appel d'offres et contrats de service exigent des fournisseurs, entrepreneurs et consultants qu'ils adoptent et signent des codes de conduite. Les </w:t>
            </w:r>
            <w:proofErr w:type="spellStart"/>
            <w:r w:rsidRPr="003A184B">
              <w:rPr>
                <w:rFonts w:ascii="CIDFont+F1" w:hAnsi="CIDFont+F1" w:cs="CIDFont+F1"/>
                <w:sz w:val="20"/>
                <w:szCs w:val="20"/>
              </w:rPr>
              <w:t>UGPRs</w:t>
            </w:r>
            <w:proofErr w:type="spellEnd"/>
            <w:r w:rsidRPr="003A184B">
              <w:rPr>
                <w:rFonts w:ascii="CIDFont+F1" w:hAnsi="CIDFont+F1" w:cs="CIDFont+F1"/>
                <w:sz w:val="20"/>
                <w:szCs w:val="20"/>
              </w:rPr>
              <w:t xml:space="preserve"> doivent s'assurer que la mission de suivi dispose d'un spécialiste en VBG.</w:t>
            </w:r>
          </w:p>
          <w:p w14:paraId="47D637AF" w14:textId="5F5110E6" w:rsidR="007C4C98" w:rsidRPr="003A184B" w:rsidRDefault="00B719DE" w:rsidP="00B82AD6">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Le plan d'action SEA/SH doit avoir un budget prévisionnel et un cadre de suivi</w:t>
            </w:r>
            <w:r w:rsidR="007C4C98" w:rsidRPr="003A184B">
              <w:rPr>
                <w:rFonts w:ascii="CIDFont+F1" w:hAnsi="CIDFont+F1" w:cs="CIDFont+F1"/>
                <w:sz w:val="20"/>
                <w:szCs w:val="20"/>
              </w:rPr>
              <w:t>.</w:t>
            </w:r>
          </w:p>
          <w:p w14:paraId="4DA2D9A2" w14:textId="4D3A86C5" w:rsidR="00FB1042" w:rsidRPr="003A184B" w:rsidRDefault="00FB1042" w:rsidP="00B719DE">
            <w:pPr>
              <w:autoSpaceDE w:val="0"/>
              <w:autoSpaceDN w:val="0"/>
              <w:adjustRightInd w:val="0"/>
              <w:rPr>
                <w:rFonts w:cstheme="minorHAnsi"/>
                <w:sz w:val="20"/>
                <w:szCs w:val="20"/>
              </w:rPr>
            </w:pPr>
          </w:p>
        </w:tc>
        <w:tc>
          <w:tcPr>
            <w:tcW w:w="3780" w:type="dxa"/>
          </w:tcPr>
          <w:p w14:paraId="56B13DB5" w14:textId="3C6D0DBB" w:rsidR="00FB1042" w:rsidRPr="003A184B" w:rsidRDefault="00FB1042" w:rsidP="003354F2">
            <w:pPr>
              <w:keepLines/>
              <w:widowControl w:val="0"/>
              <w:rPr>
                <w:sz w:val="20"/>
                <w:szCs w:val="20"/>
              </w:rPr>
            </w:pPr>
          </w:p>
          <w:p w14:paraId="59B66603" w14:textId="77777777" w:rsidR="00981DA0" w:rsidRPr="003A184B" w:rsidRDefault="00981DA0" w:rsidP="003354F2">
            <w:pPr>
              <w:keepLines/>
              <w:widowControl w:val="0"/>
              <w:rPr>
                <w:sz w:val="20"/>
                <w:szCs w:val="20"/>
              </w:rPr>
            </w:pPr>
          </w:p>
          <w:p w14:paraId="6B554E13" w14:textId="39D2F06D" w:rsidR="00B82AD6" w:rsidRPr="003A184B" w:rsidRDefault="00B82AD6" w:rsidP="00E52E94">
            <w:pPr>
              <w:autoSpaceDE w:val="0"/>
              <w:autoSpaceDN w:val="0"/>
              <w:adjustRightInd w:val="0"/>
              <w:jc w:val="both"/>
              <w:rPr>
                <w:rFonts w:ascii="CIDFont+F6" w:hAnsi="CIDFont+F6" w:cs="CIDFont+F6"/>
                <w:sz w:val="20"/>
                <w:szCs w:val="20"/>
              </w:rPr>
            </w:pPr>
            <w:r w:rsidRPr="003A184B">
              <w:rPr>
                <w:rFonts w:ascii="CIDFont+F6" w:hAnsi="CIDFont+F6" w:cs="CIDFont+F6"/>
                <w:sz w:val="20"/>
                <w:szCs w:val="20"/>
              </w:rPr>
              <w:t>Au cours du premier semestre après la date d'entrée en vigueur et maintenu pendant la mise en œuvre du projet</w:t>
            </w:r>
          </w:p>
          <w:p w14:paraId="4924B88A" w14:textId="77777777" w:rsidR="00B719DE" w:rsidRPr="003A184B" w:rsidRDefault="00B719DE" w:rsidP="00E52E94">
            <w:pPr>
              <w:autoSpaceDE w:val="0"/>
              <w:autoSpaceDN w:val="0"/>
              <w:adjustRightInd w:val="0"/>
              <w:jc w:val="both"/>
              <w:rPr>
                <w:rFonts w:ascii="CIDFont+F6" w:hAnsi="CIDFont+F6" w:cs="CIDFont+F6"/>
                <w:sz w:val="20"/>
                <w:szCs w:val="20"/>
              </w:rPr>
            </w:pPr>
          </w:p>
          <w:p w14:paraId="413C2EF5" w14:textId="77777777" w:rsidR="00B719DE" w:rsidRPr="003A184B" w:rsidRDefault="00B719DE" w:rsidP="00E52E94">
            <w:pPr>
              <w:autoSpaceDE w:val="0"/>
              <w:autoSpaceDN w:val="0"/>
              <w:adjustRightInd w:val="0"/>
              <w:jc w:val="both"/>
              <w:rPr>
                <w:rFonts w:ascii="CIDFont+F6" w:hAnsi="CIDFont+F6" w:cs="CIDFont+F6"/>
                <w:sz w:val="20"/>
                <w:szCs w:val="20"/>
              </w:rPr>
            </w:pPr>
          </w:p>
          <w:p w14:paraId="50A4D40D" w14:textId="77777777" w:rsidR="00B719DE" w:rsidRPr="003A184B" w:rsidRDefault="00B719DE" w:rsidP="00E52E94">
            <w:pPr>
              <w:autoSpaceDE w:val="0"/>
              <w:autoSpaceDN w:val="0"/>
              <w:adjustRightInd w:val="0"/>
              <w:jc w:val="both"/>
              <w:rPr>
                <w:rFonts w:ascii="CIDFont+F6" w:hAnsi="CIDFont+F6" w:cs="CIDFont+F6"/>
                <w:sz w:val="20"/>
                <w:szCs w:val="20"/>
              </w:rPr>
            </w:pPr>
          </w:p>
          <w:p w14:paraId="5339CDA2" w14:textId="77777777" w:rsidR="00B719DE" w:rsidRPr="003A184B" w:rsidRDefault="00B719DE" w:rsidP="00E52E94">
            <w:pPr>
              <w:autoSpaceDE w:val="0"/>
              <w:autoSpaceDN w:val="0"/>
              <w:adjustRightInd w:val="0"/>
              <w:jc w:val="both"/>
              <w:rPr>
                <w:rFonts w:ascii="CIDFont+F6" w:hAnsi="CIDFont+F6" w:cs="CIDFont+F6"/>
                <w:sz w:val="20"/>
                <w:szCs w:val="20"/>
              </w:rPr>
            </w:pPr>
          </w:p>
          <w:p w14:paraId="74D68DAC" w14:textId="77777777" w:rsidR="00B719DE" w:rsidRPr="003A184B" w:rsidRDefault="00B719DE" w:rsidP="00E52E94">
            <w:pPr>
              <w:autoSpaceDE w:val="0"/>
              <w:autoSpaceDN w:val="0"/>
              <w:adjustRightInd w:val="0"/>
              <w:jc w:val="both"/>
              <w:rPr>
                <w:rFonts w:ascii="CIDFont+F6" w:hAnsi="CIDFont+F6" w:cs="CIDFont+F6"/>
                <w:sz w:val="20"/>
                <w:szCs w:val="20"/>
              </w:rPr>
            </w:pPr>
          </w:p>
          <w:p w14:paraId="0F235534" w14:textId="77777777" w:rsidR="00B719DE" w:rsidRPr="003A184B" w:rsidRDefault="00B719DE" w:rsidP="00E52E94">
            <w:pPr>
              <w:autoSpaceDE w:val="0"/>
              <w:autoSpaceDN w:val="0"/>
              <w:adjustRightInd w:val="0"/>
              <w:jc w:val="both"/>
              <w:rPr>
                <w:rFonts w:ascii="CIDFont+F6" w:hAnsi="CIDFont+F6" w:cs="CIDFont+F6"/>
                <w:sz w:val="20"/>
                <w:szCs w:val="20"/>
              </w:rPr>
            </w:pPr>
          </w:p>
          <w:p w14:paraId="6331E31E" w14:textId="77777777" w:rsidR="00B719DE" w:rsidRPr="003A184B" w:rsidRDefault="00B719DE" w:rsidP="00E52E94">
            <w:pPr>
              <w:autoSpaceDE w:val="0"/>
              <w:autoSpaceDN w:val="0"/>
              <w:adjustRightInd w:val="0"/>
              <w:jc w:val="both"/>
              <w:rPr>
                <w:rFonts w:ascii="CIDFont+F6" w:hAnsi="CIDFont+F6" w:cs="CIDFont+F6"/>
                <w:sz w:val="20"/>
                <w:szCs w:val="20"/>
              </w:rPr>
            </w:pPr>
          </w:p>
          <w:p w14:paraId="1756B6B0" w14:textId="77777777" w:rsidR="00B719DE" w:rsidRPr="003A184B" w:rsidRDefault="00B719DE" w:rsidP="00E52E94">
            <w:pPr>
              <w:autoSpaceDE w:val="0"/>
              <w:autoSpaceDN w:val="0"/>
              <w:adjustRightInd w:val="0"/>
              <w:jc w:val="both"/>
              <w:rPr>
                <w:rFonts w:ascii="CIDFont+F6" w:hAnsi="CIDFont+F6" w:cs="CIDFont+F6"/>
                <w:sz w:val="20"/>
                <w:szCs w:val="20"/>
              </w:rPr>
            </w:pPr>
          </w:p>
          <w:p w14:paraId="692B834E" w14:textId="77777777" w:rsidR="00B719DE" w:rsidRPr="003A184B" w:rsidRDefault="00B719DE" w:rsidP="00E52E94">
            <w:pPr>
              <w:autoSpaceDE w:val="0"/>
              <w:autoSpaceDN w:val="0"/>
              <w:adjustRightInd w:val="0"/>
              <w:jc w:val="both"/>
              <w:rPr>
                <w:rFonts w:ascii="CIDFont+F6" w:hAnsi="CIDFont+F6" w:cs="CIDFont+F6"/>
                <w:sz w:val="20"/>
                <w:szCs w:val="20"/>
              </w:rPr>
            </w:pPr>
          </w:p>
          <w:p w14:paraId="4DA2D9A3" w14:textId="74AB42B8" w:rsidR="00B719DE" w:rsidRPr="003A184B" w:rsidRDefault="00B719DE" w:rsidP="00E52E94">
            <w:pPr>
              <w:autoSpaceDE w:val="0"/>
              <w:autoSpaceDN w:val="0"/>
              <w:adjustRightInd w:val="0"/>
              <w:jc w:val="both"/>
              <w:rPr>
                <w:rFonts w:cstheme="minorHAnsi"/>
                <w:sz w:val="20"/>
                <w:szCs w:val="20"/>
              </w:rPr>
            </w:pPr>
          </w:p>
        </w:tc>
        <w:tc>
          <w:tcPr>
            <w:tcW w:w="3690" w:type="dxa"/>
          </w:tcPr>
          <w:p w14:paraId="78BFDD0B" w14:textId="77777777" w:rsidR="00FB1042" w:rsidRPr="003A184B" w:rsidRDefault="00FB1042" w:rsidP="003354F2">
            <w:pPr>
              <w:keepLines/>
              <w:widowControl w:val="0"/>
              <w:rPr>
                <w:rFonts w:cstheme="minorHAnsi"/>
                <w:sz w:val="20"/>
                <w:szCs w:val="20"/>
              </w:rPr>
            </w:pPr>
          </w:p>
          <w:p w14:paraId="6FDEB70E" w14:textId="77777777" w:rsidR="00B82AD6" w:rsidRPr="003A184B" w:rsidRDefault="00B82AD6" w:rsidP="003354F2">
            <w:pPr>
              <w:keepLines/>
              <w:widowControl w:val="0"/>
              <w:rPr>
                <w:rFonts w:cstheme="minorHAnsi"/>
                <w:sz w:val="20"/>
                <w:szCs w:val="20"/>
              </w:rPr>
            </w:pPr>
          </w:p>
          <w:p w14:paraId="4DA2D9A4" w14:textId="555AFA76" w:rsidR="00B82AD6" w:rsidRPr="003A184B" w:rsidRDefault="00B82AD6" w:rsidP="003354F2">
            <w:pPr>
              <w:keepLines/>
              <w:widowControl w:val="0"/>
              <w:rPr>
                <w:rFonts w:cstheme="minorHAnsi"/>
                <w:sz w:val="20"/>
                <w:szCs w:val="20"/>
              </w:rPr>
            </w:pPr>
            <w:r w:rsidRPr="003A184B">
              <w:rPr>
                <w:rFonts w:cstheme="minorHAnsi"/>
                <w:sz w:val="20"/>
                <w:szCs w:val="20"/>
              </w:rPr>
              <w:t>UGPC/</w:t>
            </w:r>
            <w:proofErr w:type="spellStart"/>
            <w:r w:rsidRPr="003A184B">
              <w:rPr>
                <w:rFonts w:cstheme="minorHAnsi"/>
                <w:sz w:val="20"/>
                <w:szCs w:val="20"/>
              </w:rPr>
              <w:t>UGPRs</w:t>
            </w:r>
            <w:proofErr w:type="spellEnd"/>
          </w:p>
        </w:tc>
      </w:tr>
      <w:tr w:rsidR="00FB1042" w:rsidRPr="003A184B" w14:paraId="4DA2D9B1" w14:textId="77777777" w:rsidTr="2748EF3C">
        <w:trPr>
          <w:cantSplit/>
          <w:trHeight w:val="20"/>
        </w:trPr>
        <w:tc>
          <w:tcPr>
            <w:tcW w:w="715" w:type="dxa"/>
          </w:tcPr>
          <w:p w14:paraId="4DA2D9AC" w14:textId="77777777" w:rsidR="00FB1042" w:rsidRPr="003A184B" w:rsidRDefault="00FB1042" w:rsidP="003354F2">
            <w:pPr>
              <w:keepLines/>
              <w:widowControl w:val="0"/>
              <w:jc w:val="center"/>
              <w:rPr>
                <w:rFonts w:cstheme="minorHAnsi"/>
                <w:sz w:val="20"/>
                <w:szCs w:val="20"/>
              </w:rPr>
            </w:pPr>
            <w:r w:rsidRPr="003A184B">
              <w:rPr>
                <w:sz w:val="20"/>
                <w:szCs w:val="20"/>
              </w:rPr>
              <w:t>4.4</w:t>
            </w:r>
          </w:p>
        </w:tc>
        <w:tc>
          <w:tcPr>
            <w:tcW w:w="6120" w:type="dxa"/>
          </w:tcPr>
          <w:p w14:paraId="4DA2D9AD" w14:textId="77777777" w:rsidR="00FB1042" w:rsidRPr="003A184B" w:rsidRDefault="00FB1042" w:rsidP="003354F2">
            <w:pPr>
              <w:keepLines/>
              <w:widowControl w:val="0"/>
              <w:rPr>
                <w:b/>
                <w:color w:val="5B9BD5" w:themeColor="accent5"/>
                <w:sz w:val="20"/>
                <w:szCs w:val="20"/>
              </w:rPr>
            </w:pPr>
            <w:r w:rsidRPr="003A184B">
              <w:rPr>
                <w:b/>
                <w:color w:val="5B9BD5" w:themeColor="accent5"/>
                <w:sz w:val="20"/>
                <w:szCs w:val="20"/>
              </w:rPr>
              <w:t>PERSONNEL DE SÉCURITÉ</w:t>
            </w:r>
          </w:p>
          <w:p w14:paraId="4DA2D9AE" w14:textId="77777777" w:rsidR="00FB1042" w:rsidRPr="003A184B" w:rsidRDefault="00FB1042" w:rsidP="003354F2">
            <w:pPr>
              <w:keepLines/>
              <w:widowControl w:val="0"/>
              <w:rPr>
                <w:rFonts w:cstheme="minorHAnsi"/>
                <w:sz w:val="20"/>
                <w:szCs w:val="20"/>
              </w:rPr>
            </w:pPr>
            <w:r w:rsidRPr="003A184B">
              <w:rPr>
                <w:rFonts w:cstheme="minorHAnsi"/>
                <w:sz w:val="20"/>
                <w:szCs w:val="20"/>
              </w:rPr>
              <w:t>Non applicable</w:t>
            </w:r>
          </w:p>
        </w:tc>
        <w:tc>
          <w:tcPr>
            <w:tcW w:w="3780" w:type="dxa"/>
          </w:tcPr>
          <w:p w14:paraId="4DA2D9AF" w14:textId="77777777" w:rsidR="00FB1042" w:rsidRPr="003A184B" w:rsidRDefault="00FB1042" w:rsidP="003354F2">
            <w:pPr>
              <w:keepLines/>
              <w:widowControl w:val="0"/>
              <w:rPr>
                <w:rFonts w:cstheme="minorHAnsi"/>
                <w:sz w:val="20"/>
                <w:szCs w:val="20"/>
              </w:rPr>
            </w:pPr>
            <w:r w:rsidRPr="003A184B">
              <w:rPr>
                <w:sz w:val="20"/>
                <w:szCs w:val="20"/>
              </w:rPr>
              <w:t>N/A</w:t>
            </w:r>
          </w:p>
        </w:tc>
        <w:tc>
          <w:tcPr>
            <w:tcW w:w="3690" w:type="dxa"/>
          </w:tcPr>
          <w:p w14:paraId="4DA2D9B0" w14:textId="77777777" w:rsidR="00FB1042" w:rsidRPr="003A184B" w:rsidRDefault="00FB1042" w:rsidP="003354F2">
            <w:pPr>
              <w:keepLines/>
              <w:widowControl w:val="0"/>
              <w:rPr>
                <w:rFonts w:cstheme="minorHAnsi"/>
                <w:sz w:val="20"/>
                <w:szCs w:val="20"/>
              </w:rPr>
            </w:pPr>
          </w:p>
        </w:tc>
      </w:tr>
      <w:tr w:rsidR="009C0FBF" w:rsidRPr="003A184B" w14:paraId="746B949C" w14:textId="77777777" w:rsidTr="2748EF3C">
        <w:trPr>
          <w:cantSplit/>
          <w:trHeight w:val="20"/>
        </w:trPr>
        <w:tc>
          <w:tcPr>
            <w:tcW w:w="715" w:type="dxa"/>
          </w:tcPr>
          <w:p w14:paraId="52270416" w14:textId="35844E90" w:rsidR="009C0FBF" w:rsidRPr="009C0FBF" w:rsidRDefault="009C0FBF" w:rsidP="003354F2">
            <w:pPr>
              <w:keepLines/>
              <w:widowControl w:val="0"/>
              <w:jc w:val="center"/>
              <w:rPr>
                <w:b/>
                <w:color w:val="5B9BD5" w:themeColor="accent5"/>
                <w:sz w:val="20"/>
                <w:szCs w:val="20"/>
              </w:rPr>
            </w:pPr>
            <w:r w:rsidRPr="009C0FBF">
              <w:rPr>
                <w:sz w:val="20"/>
                <w:szCs w:val="20"/>
              </w:rPr>
              <w:lastRenderedPageBreak/>
              <w:t>4.5</w:t>
            </w:r>
          </w:p>
        </w:tc>
        <w:tc>
          <w:tcPr>
            <w:tcW w:w="6120" w:type="dxa"/>
          </w:tcPr>
          <w:p w14:paraId="0C8DDA12" w14:textId="77777777" w:rsidR="009C0FBF" w:rsidRDefault="009C0FBF" w:rsidP="003354F2">
            <w:pPr>
              <w:keepLines/>
              <w:widowControl w:val="0"/>
              <w:rPr>
                <w:b/>
                <w:color w:val="5B9BD5" w:themeColor="accent5"/>
                <w:sz w:val="20"/>
                <w:szCs w:val="20"/>
              </w:rPr>
            </w:pPr>
            <w:r w:rsidRPr="009C0FBF">
              <w:rPr>
                <w:b/>
                <w:color w:val="5B9BD5" w:themeColor="accent5"/>
                <w:sz w:val="20"/>
                <w:szCs w:val="20"/>
              </w:rPr>
              <w:t>IMPLICATION DES MILITAIRES</w:t>
            </w:r>
          </w:p>
          <w:p w14:paraId="3DD4AB84" w14:textId="38F39F82" w:rsidR="009C0FBF" w:rsidRPr="003A184B" w:rsidRDefault="009C0FBF" w:rsidP="003354F2">
            <w:pPr>
              <w:keepLines/>
              <w:widowControl w:val="0"/>
              <w:rPr>
                <w:b/>
                <w:color w:val="5B9BD5" w:themeColor="accent5"/>
                <w:sz w:val="20"/>
                <w:szCs w:val="20"/>
              </w:rPr>
            </w:pPr>
            <w:r w:rsidRPr="003A184B">
              <w:rPr>
                <w:rFonts w:cstheme="minorHAnsi"/>
                <w:sz w:val="20"/>
                <w:szCs w:val="20"/>
              </w:rPr>
              <w:t>Non applicable</w:t>
            </w:r>
          </w:p>
        </w:tc>
        <w:tc>
          <w:tcPr>
            <w:tcW w:w="3780" w:type="dxa"/>
          </w:tcPr>
          <w:p w14:paraId="22C4B388" w14:textId="06CDA809" w:rsidR="009C0FBF" w:rsidRPr="003A184B" w:rsidRDefault="009C0FBF" w:rsidP="003354F2">
            <w:pPr>
              <w:keepLines/>
              <w:widowControl w:val="0"/>
              <w:rPr>
                <w:sz w:val="20"/>
                <w:szCs w:val="20"/>
              </w:rPr>
            </w:pPr>
            <w:r>
              <w:rPr>
                <w:sz w:val="20"/>
                <w:szCs w:val="20"/>
              </w:rPr>
              <w:t>N/A</w:t>
            </w:r>
          </w:p>
        </w:tc>
        <w:tc>
          <w:tcPr>
            <w:tcW w:w="3690" w:type="dxa"/>
          </w:tcPr>
          <w:p w14:paraId="6F28344E" w14:textId="77777777" w:rsidR="009C0FBF" w:rsidRPr="003A184B" w:rsidRDefault="009C0FBF" w:rsidP="003354F2">
            <w:pPr>
              <w:keepLines/>
              <w:widowControl w:val="0"/>
              <w:rPr>
                <w:rFonts w:cstheme="minorHAnsi"/>
                <w:sz w:val="20"/>
                <w:szCs w:val="20"/>
              </w:rPr>
            </w:pPr>
          </w:p>
        </w:tc>
      </w:tr>
      <w:tr w:rsidR="009C0FBF" w:rsidRPr="003A184B" w14:paraId="4777AF59" w14:textId="77777777" w:rsidTr="2748EF3C">
        <w:trPr>
          <w:cantSplit/>
          <w:trHeight w:val="20"/>
        </w:trPr>
        <w:tc>
          <w:tcPr>
            <w:tcW w:w="715" w:type="dxa"/>
          </w:tcPr>
          <w:p w14:paraId="718863DE" w14:textId="0D4072F2" w:rsidR="009C0FBF" w:rsidRPr="003A184B" w:rsidRDefault="009C0FBF" w:rsidP="009C0FBF">
            <w:pPr>
              <w:keepLines/>
              <w:widowControl w:val="0"/>
              <w:jc w:val="center"/>
              <w:rPr>
                <w:sz w:val="20"/>
                <w:szCs w:val="20"/>
              </w:rPr>
            </w:pPr>
            <w:r>
              <w:rPr>
                <w:sz w:val="20"/>
                <w:szCs w:val="20"/>
              </w:rPr>
              <w:t>4.6</w:t>
            </w:r>
          </w:p>
        </w:tc>
        <w:tc>
          <w:tcPr>
            <w:tcW w:w="6120" w:type="dxa"/>
          </w:tcPr>
          <w:p w14:paraId="0A392E61" w14:textId="29BAAFB7" w:rsidR="009C0FBF" w:rsidRPr="009C0FBF" w:rsidRDefault="009C0FBF" w:rsidP="009C0FBF">
            <w:pPr>
              <w:keepLines/>
              <w:widowControl w:val="0"/>
              <w:rPr>
                <w:b/>
                <w:color w:val="5B9BD5" w:themeColor="accent5"/>
                <w:sz w:val="20"/>
                <w:szCs w:val="20"/>
              </w:rPr>
            </w:pPr>
            <w:r w:rsidRPr="009C0FBF">
              <w:rPr>
                <w:b/>
                <w:color w:val="5B9BD5" w:themeColor="accent5"/>
                <w:sz w:val="20"/>
                <w:szCs w:val="20"/>
              </w:rPr>
              <w:t>SÉCURITÉ DES BARRAGE (POUR L'ANNEXE A, PARA</w:t>
            </w:r>
            <w:r>
              <w:rPr>
                <w:b/>
                <w:color w:val="5B9BD5" w:themeColor="accent5"/>
                <w:sz w:val="20"/>
                <w:szCs w:val="20"/>
              </w:rPr>
              <w:t>GRAPH</w:t>
            </w:r>
            <w:r w:rsidRPr="009C0FBF">
              <w:rPr>
                <w:b/>
                <w:color w:val="5B9BD5" w:themeColor="accent5"/>
                <w:sz w:val="20"/>
                <w:szCs w:val="20"/>
              </w:rPr>
              <w:t xml:space="preserve">. 2. </w:t>
            </w:r>
            <w:r>
              <w:rPr>
                <w:b/>
                <w:color w:val="5B9BD5" w:themeColor="accent5"/>
                <w:sz w:val="20"/>
                <w:szCs w:val="20"/>
              </w:rPr>
              <w:t>NES 4</w:t>
            </w:r>
            <w:r w:rsidRPr="009C0FBF">
              <w:rPr>
                <w:b/>
                <w:color w:val="5B9BD5" w:themeColor="accent5"/>
                <w:sz w:val="20"/>
                <w:szCs w:val="20"/>
              </w:rPr>
              <w:t>)</w:t>
            </w:r>
          </w:p>
          <w:p w14:paraId="186C4140" w14:textId="2FBB783D" w:rsidR="009C0FBF" w:rsidRPr="003A184B" w:rsidRDefault="009C0FBF" w:rsidP="009C0FBF">
            <w:pPr>
              <w:keepLines/>
              <w:widowControl w:val="0"/>
              <w:rPr>
                <w:b/>
                <w:color w:val="5B9BD5" w:themeColor="accent5"/>
                <w:sz w:val="20"/>
                <w:szCs w:val="20"/>
              </w:rPr>
            </w:pPr>
            <w:r>
              <w:rPr>
                <w:b/>
                <w:color w:val="5B9BD5" w:themeColor="accent5"/>
                <w:sz w:val="20"/>
                <w:szCs w:val="20"/>
              </w:rPr>
              <w:t xml:space="preserve">Non applicable </w:t>
            </w:r>
          </w:p>
        </w:tc>
        <w:tc>
          <w:tcPr>
            <w:tcW w:w="3780" w:type="dxa"/>
          </w:tcPr>
          <w:p w14:paraId="0C0FE2A2" w14:textId="1DE005DD" w:rsidR="009C0FBF" w:rsidRPr="003A184B" w:rsidRDefault="009C0FBF" w:rsidP="009C0FBF">
            <w:pPr>
              <w:keepLines/>
              <w:widowControl w:val="0"/>
              <w:rPr>
                <w:sz w:val="20"/>
                <w:szCs w:val="20"/>
              </w:rPr>
            </w:pPr>
            <w:r>
              <w:rPr>
                <w:sz w:val="20"/>
                <w:szCs w:val="20"/>
              </w:rPr>
              <w:t>N/A</w:t>
            </w:r>
          </w:p>
        </w:tc>
        <w:tc>
          <w:tcPr>
            <w:tcW w:w="3690" w:type="dxa"/>
          </w:tcPr>
          <w:p w14:paraId="58762509" w14:textId="77777777" w:rsidR="009C0FBF" w:rsidRPr="003A184B" w:rsidRDefault="009C0FBF" w:rsidP="009C0FBF">
            <w:pPr>
              <w:keepLines/>
              <w:widowControl w:val="0"/>
              <w:rPr>
                <w:rFonts w:cstheme="minorHAnsi"/>
                <w:sz w:val="20"/>
                <w:szCs w:val="20"/>
              </w:rPr>
            </w:pPr>
          </w:p>
        </w:tc>
      </w:tr>
      <w:tr w:rsidR="009C0FBF" w:rsidRPr="003A184B" w14:paraId="48358D9A" w14:textId="77777777" w:rsidTr="2748EF3C">
        <w:trPr>
          <w:cantSplit/>
          <w:trHeight w:val="20"/>
        </w:trPr>
        <w:tc>
          <w:tcPr>
            <w:tcW w:w="715" w:type="dxa"/>
          </w:tcPr>
          <w:p w14:paraId="3746F19E" w14:textId="78829850" w:rsidR="009C0FBF" w:rsidRDefault="009C0FBF" w:rsidP="009C0FBF">
            <w:pPr>
              <w:keepLines/>
              <w:widowControl w:val="0"/>
              <w:jc w:val="center"/>
              <w:rPr>
                <w:sz w:val="20"/>
                <w:szCs w:val="20"/>
              </w:rPr>
            </w:pPr>
            <w:r>
              <w:rPr>
                <w:sz w:val="20"/>
                <w:szCs w:val="20"/>
              </w:rPr>
              <w:t>4.7</w:t>
            </w:r>
          </w:p>
        </w:tc>
        <w:tc>
          <w:tcPr>
            <w:tcW w:w="6120" w:type="dxa"/>
          </w:tcPr>
          <w:p w14:paraId="3E37555A" w14:textId="158DE006" w:rsidR="009C0FBF" w:rsidRPr="009C0FBF" w:rsidRDefault="009C0FBF" w:rsidP="009C0FBF">
            <w:pPr>
              <w:keepLines/>
              <w:widowControl w:val="0"/>
              <w:rPr>
                <w:b/>
                <w:color w:val="5B9BD5" w:themeColor="accent5"/>
                <w:sz w:val="20"/>
                <w:szCs w:val="20"/>
              </w:rPr>
            </w:pPr>
            <w:r w:rsidRPr="009C0FBF">
              <w:rPr>
                <w:b/>
                <w:color w:val="5B9BD5" w:themeColor="accent5"/>
                <w:sz w:val="20"/>
                <w:szCs w:val="20"/>
              </w:rPr>
              <w:t>SÉCURITÉ DES BARRAGE (POUR L'ANNEXE A, PARA</w:t>
            </w:r>
            <w:r>
              <w:rPr>
                <w:b/>
                <w:color w:val="5B9BD5" w:themeColor="accent5"/>
                <w:sz w:val="20"/>
                <w:szCs w:val="20"/>
              </w:rPr>
              <w:t>GRAPH</w:t>
            </w:r>
            <w:r w:rsidRPr="009C0FBF">
              <w:rPr>
                <w:b/>
                <w:color w:val="5B9BD5" w:themeColor="accent5"/>
                <w:sz w:val="20"/>
                <w:szCs w:val="20"/>
              </w:rPr>
              <w:t xml:space="preserve">. 5. </w:t>
            </w:r>
            <w:r>
              <w:rPr>
                <w:b/>
                <w:color w:val="5B9BD5" w:themeColor="accent5"/>
                <w:sz w:val="20"/>
                <w:szCs w:val="20"/>
              </w:rPr>
              <w:t>N</w:t>
            </w:r>
            <w:r w:rsidRPr="009C0FBF">
              <w:rPr>
                <w:b/>
                <w:color w:val="5B9BD5" w:themeColor="accent5"/>
                <w:sz w:val="20"/>
                <w:szCs w:val="20"/>
              </w:rPr>
              <w:t>ES</w:t>
            </w:r>
            <w:r>
              <w:rPr>
                <w:b/>
                <w:color w:val="5B9BD5" w:themeColor="accent5"/>
                <w:sz w:val="20"/>
                <w:szCs w:val="20"/>
              </w:rPr>
              <w:t xml:space="preserve"> </w:t>
            </w:r>
            <w:r w:rsidRPr="009C0FBF">
              <w:rPr>
                <w:b/>
                <w:color w:val="5B9BD5" w:themeColor="accent5"/>
                <w:sz w:val="20"/>
                <w:szCs w:val="20"/>
              </w:rPr>
              <w:t>4)</w:t>
            </w:r>
          </w:p>
          <w:p w14:paraId="6BD2228D" w14:textId="77777777" w:rsidR="009C0FBF" w:rsidRPr="009C0FBF" w:rsidRDefault="009C0FBF" w:rsidP="009C0FBF">
            <w:pPr>
              <w:keepLines/>
              <w:widowControl w:val="0"/>
              <w:rPr>
                <w:b/>
                <w:color w:val="5B9BD5" w:themeColor="accent5"/>
                <w:sz w:val="20"/>
                <w:szCs w:val="20"/>
              </w:rPr>
            </w:pPr>
          </w:p>
          <w:p w14:paraId="37B00447" w14:textId="778478A6" w:rsidR="009C0FBF" w:rsidRPr="009C0FBF" w:rsidRDefault="009C0FBF" w:rsidP="009C0FBF">
            <w:pPr>
              <w:keepLines/>
              <w:widowControl w:val="0"/>
              <w:rPr>
                <w:b/>
                <w:color w:val="5B9BD5" w:themeColor="accent5"/>
                <w:sz w:val="20"/>
                <w:szCs w:val="20"/>
              </w:rPr>
            </w:pPr>
            <w:r w:rsidRPr="009C0FBF">
              <w:rPr>
                <w:rFonts w:cstheme="minorHAnsi"/>
                <w:sz w:val="20"/>
                <w:szCs w:val="20"/>
              </w:rPr>
              <w:t xml:space="preserve">Partager avec la Banque les rapports périodiques sur la sécurité des barrages préparés par l'Emprunteur par l'intermédiaire d'ingénieurs qualifiés pour concevoir des mesures de sécurité des barrages pour les barrages Youssef Ben </w:t>
            </w:r>
            <w:proofErr w:type="spellStart"/>
            <w:r w:rsidRPr="009C0FBF">
              <w:rPr>
                <w:rFonts w:cstheme="minorHAnsi"/>
                <w:sz w:val="20"/>
                <w:szCs w:val="20"/>
              </w:rPr>
              <w:t>Tachfine</w:t>
            </w:r>
            <w:proofErr w:type="spellEnd"/>
            <w:r w:rsidRPr="009C0FBF">
              <w:rPr>
                <w:rFonts w:cstheme="minorHAnsi"/>
                <w:sz w:val="20"/>
                <w:szCs w:val="20"/>
              </w:rPr>
              <w:t xml:space="preserve">, Al Massira et Bin El </w:t>
            </w:r>
            <w:proofErr w:type="spellStart"/>
            <w:r w:rsidRPr="009C0FBF">
              <w:rPr>
                <w:rFonts w:cstheme="minorHAnsi"/>
                <w:sz w:val="20"/>
                <w:szCs w:val="20"/>
              </w:rPr>
              <w:t>Ouidane</w:t>
            </w:r>
            <w:proofErr w:type="spellEnd"/>
            <w:r w:rsidRPr="009C0FBF">
              <w:rPr>
                <w:rFonts w:cstheme="minorHAnsi"/>
                <w:sz w:val="20"/>
                <w:szCs w:val="20"/>
              </w:rPr>
              <w:t>, conformément aux bonnes pratiques internationales de l'industrie, puis adopter et mettre en œuvre ces mesures.</w:t>
            </w:r>
          </w:p>
        </w:tc>
        <w:tc>
          <w:tcPr>
            <w:tcW w:w="3780" w:type="dxa"/>
          </w:tcPr>
          <w:p w14:paraId="76A0F560" w14:textId="2B38D3BF" w:rsidR="009C0FBF" w:rsidRPr="003A184B" w:rsidRDefault="009C0FBF" w:rsidP="009C0FBF">
            <w:pPr>
              <w:keepLines/>
              <w:widowControl w:val="0"/>
              <w:rPr>
                <w:sz w:val="20"/>
                <w:szCs w:val="20"/>
              </w:rPr>
            </w:pPr>
            <w:r w:rsidRPr="009C0FBF">
              <w:rPr>
                <w:sz w:val="20"/>
                <w:szCs w:val="20"/>
              </w:rPr>
              <w:t>Une fois par an en annexe au rapport annuel</w:t>
            </w:r>
          </w:p>
        </w:tc>
        <w:tc>
          <w:tcPr>
            <w:tcW w:w="3690" w:type="dxa"/>
          </w:tcPr>
          <w:p w14:paraId="17F25F0F" w14:textId="2715B27A" w:rsidR="009C0FBF" w:rsidRPr="003A184B" w:rsidRDefault="009C0FBF" w:rsidP="009C0FBF">
            <w:pPr>
              <w:keepLines/>
              <w:widowControl w:val="0"/>
              <w:rPr>
                <w:rFonts w:cstheme="minorHAnsi"/>
                <w:sz w:val="20"/>
                <w:szCs w:val="20"/>
              </w:rPr>
            </w:pPr>
            <w:r>
              <w:rPr>
                <w:rFonts w:cstheme="minorHAnsi"/>
                <w:sz w:val="20"/>
                <w:szCs w:val="20"/>
              </w:rPr>
              <w:t>UGPC</w:t>
            </w:r>
          </w:p>
        </w:tc>
      </w:tr>
    </w:tbl>
    <w:p w14:paraId="4DA2D9B2" w14:textId="77777777" w:rsidR="00FB1042" w:rsidRPr="003A184B" w:rsidRDefault="00FB1042" w:rsidP="00FB1042">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FB1042" w:rsidRPr="003A184B" w14:paraId="4DA2D9B4" w14:textId="77777777" w:rsidTr="003354F2">
        <w:trPr>
          <w:cantSplit/>
          <w:trHeight w:val="20"/>
        </w:trPr>
        <w:tc>
          <w:tcPr>
            <w:tcW w:w="14305" w:type="dxa"/>
            <w:gridSpan w:val="4"/>
            <w:shd w:val="clear" w:color="auto" w:fill="F4B083" w:themeFill="accent2" w:themeFillTint="99"/>
          </w:tcPr>
          <w:p w14:paraId="4DA2D9B3" w14:textId="4EAB9927" w:rsidR="00FB1042" w:rsidRPr="003A184B" w:rsidRDefault="00FB1042" w:rsidP="003354F2">
            <w:pPr>
              <w:keepLines/>
              <w:widowControl w:val="0"/>
              <w:rPr>
                <w:rFonts w:cstheme="minorHAnsi"/>
                <w:sz w:val="20"/>
                <w:szCs w:val="20"/>
              </w:rPr>
            </w:pPr>
            <w:r w:rsidRPr="003A184B">
              <w:rPr>
                <w:b/>
                <w:sz w:val="20"/>
                <w:szCs w:val="20"/>
              </w:rPr>
              <w:t>NES n</w:t>
            </w:r>
            <w:r w:rsidRPr="003A184B">
              <w:rPr>
                <w:b/>
                <w:sz w:val="20"/>
                <w:szCs w:val="20"/>
                <w:vertAlign w:val="superscript"/>
              </w:rPr>
              <w:t>o</w:t>
            </w:r>
            <w:r w:rsidRPr="003A184B">
              <w:rPr>
                <w:b/>
                <w:sz w:val="20"/>
                <w:szCs w:val="20"/>
              </w:rPr>
              <w:t xml:space="preserve"> 5 : ACQUISITION DE TERRES, RESTRICTIONS À L’UTILISATION DE TERRES ET RÉINSTALLATION INVOLONTAIRE </w:t>
            </w:r>
            <w:r w:rsidR="009C0FBF" w:rsidRPr="009C0FBF">
              <w:rPr>
                <w:bCs/>
                <w:sz w:val="20"/>
                <w:szCs w:val="20"/>
              </w:rPr>
              <w:t xml:space="preserve">[la pertinence de la NES5 est établie lors du processus </w:t>
            </w:r>
            <w:r w:rsidR="004B4F30">
              <w:rPr>
                <w:sz w:val="20"/>
                <w:szCs w:val="20"/>
              </w:rPr>
              <w:t>d’Evaluation Environnementale et Sociale (EES)</w:t>
            </w:r>
            <w:r w:rsidR="004B4F30" w:rsidRPr="00BA3E00">
              <w:rPr>
                <w:bCs/>
                <w:sz w:val="20"/>
                <w:szCs w:val="20"/>
              </w:rPr>
              <w:t xml:space="preserve">. </w:t>
            </w:r>
            <w:r w:rsidR="009C0FBF" w:rsidRPr="009C0FBF">
              <w:rPr>
                <w:bCs/>
                <w:sz w:val="20"/>
                <w:szCs w:val="20"/>
              </w:rPr>
              <w:t>Si des instruments de réinstallation doivent être préparés (par exemple, des cadres de processus de réinstallation, des plans d'action de réinstallation, des cadres de processus), cela doit être reflété dans le PEES. Voir exemples ci-dessous]</w:t>
            </w:r>
          </w:p>
        </w:tc>
      </w:tr>
      <w:tr w:rsidR="00FB1042" w:rsidRPr="003A184B" w14:paraId="4DA2D9BA" w14:textId="77777777" w:rsidTr="003354F2">
        <w:trPr>
          <w:cantSplit/>
          <w:trHeight w:val="20"/>
        </w:trPr>
        <w:tc>
          <w:tcPr>
            <w:tcW w:w="715" w:type="dxa"/>
          </w:tcPr>
          <w:p w14:paraId="4DA2D9B5" w14:textId="77777777" w:rsidR="00FB1042" w:rsidRPr="003A184B" w:rsidRDefault="00FB1042" w:rsidP="003354F2">
            <w:pPr>
              <w:keepLines/>
              <w:widowControl w:val="0"/>
              <w:jc w:val="center"/>
              <w:rPr>
                <w:rFonts w:cstheme="minorHAnsi"/>
                <w:sz w:val="20"/>
                <w:szCs w:val="20"/>
              </w:rPr>
            </w:pPr>
            <w:r w:rsidRPr="003A184B">
              <w:rPr>
                <w:sz w:val="20"/>
                <w:szCs w:val="20"/>
              </w:rPr>
              <w:t>5.1</w:t>
            </w:r>
          </w:p>
        </w:tc>
        <w:tc>
          <w:tcPr>
            <w:tcW w:w="6120" w:type="dxa"/>
          </w:tcPr>
          <w:p w14:paraId="4DA2D9B6" w14:textId="0B010E4C" w:rsidR="00FB1042" w:rsidRPr="003A184B" w:rsidRDefault="004B4F30" w:rsidP="003354F2">
            <w:pPr>
              <w:keepLines/>
              <w:widowControl w:val="0"/>
              <w:rPr>
                <w:b/>
                <w:color w:val="5B9BD5" w:themeColor="accent5"/>
                <w:sz w:val="20"/>
                <w:szCs w:val="20"/>
              </w:rPr>
            </w:pPr>
            <w:r>
              <w:rPr>
                <w:b/>
                <w:color w:val="5B9BD5" w:themeColor="accent5"/>
                <w:sz w:val="20"/>
                <w:szCs w:val="20"/>
              </w:rPr>
              <w:t xml:space="preserve">CADRE DE POLITIQUE </w:t>
            </w:r>
            <w:r w:rsidR="00FB1042" w:rsidRPr="003A184B">
              <w:rPr>
                <w:b/>
                <w:color w:val="5B9BD5" w:themeColor="accent5"/>
                <w:sz w:val="20"/>
                <w:szCs w:val="20"/>
              </w:rPr>
              <w:t>DE RÉINSTALLATION</w:t>
            </w:r>
          </w:p>
          <w:p w14:paraId="4DA2D9B7" w14:textId="0208EC3D" w:rsidR="00FB1042" w:rsidRPr="00165946" w:rsidRDefault="00171C07" w:rsidP="00165946">
            <w:pPr>
              <w:autoSpaceDE w:val="0"/>
              <w:autoSpaceDN w:val="0"/>
              <w:adjustRightInd w:val="0"/>
              <w:rPr>
                <w:rFonts w:ascii="CIDFont+F1" w:hAnsi="CIDFont+F1" w:cs="CIDFont+F1"/>
                <w:sz w:val="20"/>
                <w:szCs w:val="20"/>
              </w:rPr>
            </w:pPr>
            <w:r w:rsidRPr="003A184B">
              <w:rPr>
                <w:rFonts w:ascii="CIDFont+F1" w:hAnsi="CIDFont+F1" w:cs="CIDFont+F1"/>
                <w:sz w:val="20"/>
                <w:szCs w:val="20"/>
              </w:rPr>
              <w:t>Préparer</w:t>
            </w:r>
            <w:r w:rsidR="009C0FBF">
              <w:rPr>
                <w:rFonts w:ascii="CIDFont+F1" w:hAnsi="CIDFont+F1" w:cs="CIDFont+F1"/>
                <w:sz w:val="20"/>
                <w:szCs w:val="20"/>
              </w:rPr>
              <w:t xml:space="preserve"> et mettre en œuvre</w:t>
            </w:r>
            <w:r w:rsidRPr="003A184B">
              <w:rPr>
                <w:rFonts w:ascii="CIDFont+F1" w:hAnsi="CIDFont+F1" w:cs="CIDFont+F1"/>
                <w:sz w:val="20"/>
                <w:szCs w:val="20"/>
              </w:rPr>
              <w:t xml:space="preserve"> un </w:t>
            </w:r>
            <w:r w:rsidR="005D3FFE" w:rsidRPr="003A184B">
              <w:rPr>
                <w:rFonts w:ascii="CIDFont+F1" w:hAnsi="CIDFont+F1" w:cs="CIDFont+F1"/>
                <w:sz w:val="20"/>
                <w:szCs w:val="20"/>
              </w:rPr>
              <w:t>C</w:t>
            </w:r>
            <w:r w:rsidRPr="003A184B">
              <w:rPr>
                <w:rFonts w:ascii="CIDFont+F1" w:hAnsi="CIDFont+F1" w:cs="CIDFont+F1"/>
                <w:sz w:val="20"/>
                <w:szCs w:val="20"/>
              </w:rPr>
              <w:t xml:space="preserve">adre de </w:t>
            </w:r>
            <w:r w:rsidR="005D3FFE" w:rsidRPr="003A184B">
              <w:rPr>
                <w:rFonts w:ascii="CIDFont+F1" w:hAnsi="CIDFont+F1" w:cs="CIDFont+F1"/>
                <w:sz w:val="20"/>
                <w:szCs w:val="20"/>
              </w:rPr>
              <w:t>P</w:t>
            </w:r>
            <w:r w:rsidRPr="003A184B">
              <w:rPr>
                <w:rFonts w:ascii="CIDFont+F1" w:hAnsi="CIDFont+F1" w:cs="CIDFont+F1"/>
                <w:sz w:val="20"/>
                <w:szCs w:val="20"/>
              </w:rPr>
              <w:t xml:space="preserve">olitique de </w:t>
            </w:r>
            <w:r w:rsidR="005D3FFE" w:rsidRPr="003A184B">
              <w:rPr>
                <w:rFonts w:ascii="CIDFont+F1" w:hAnsi="CIDFont+F1" w:cs="CIDFont+F1"/>
                <w:sz w:val="20"/>
                <w:szCs w:val="20"/>
              </w:rPr>
              <w:t>R</w:t>
            </w:r>
            <w:r w:rsidRPr="003A184B">
              <w:rPr>
                <w:rFonts w:ascii="CIDFont+F1" w:hAnsi="CIDFont+F1" w:cs="CIDFont+F1"/>
                <w:sz w:val="20"/>
                <w:szCs w:val="20"/>
              </w:rPr>
              <w:t xml:space="preserve">éinstallation (CPR) pour </w:t>
            </w:r>
            <w:r w:rsidR="009C0FBF">
              <w:rPr>
                <w:rFonts w:ascii="CIDFont+F1" w:hAnsi="CIDFont+F1" w:cs="CIDFont+F1"/>
                <w:sz w:val="20"/>
                <w:szCs w:val="20"/>
              </w:rPr>
              <w:t>le projet</w:t>
            </w:r>
            <w:r w:rsidRPr="003A184B">
              <w:rPr>
                <w:rFonts w:ascii="CIDFont+F1" w:hAnsi="CIDFont+F1" w:cs="CIDFont+F1"/>
                <w:sz w:val="20"/>
                <w:szCs w:val="20"/>
              </w:rPr>
              <w:t>, conformément aux exigences de la NES 5.</w:t>
            </w:r>
          </w:p>
        </w:tc>
        <w:tc>
          <w:tcPr>
            <w:tcW w:w="3780" w:type="dxa"/>
          </w:tcPr>
          <w:p w14:paraId="1E037572" w14:textId="0F071F4E" w:rsidR="00FB1042" w:rsidRPr="003A184B" w:rsidRDefault="00FB1042" w:rsidP="003354F2">
            <w:pPr>
              <w:keepLines/>
              <w:widowControl w:val="0"/>
              <w:jc w:val="both"/>
              <w:rPr>
                <w:sz w:val="20"/>
                <w:szCs w:val="20"/>
              </w:rPr>
            </w:pPr>
          </w:p>
          <w:p w14:paraId="4DA2D9B8" w14:textId="5E33BDE5" w:rsidR="00B82AD6" w:rsidRPr="00165946" w:rsidRDefault="009C0FBF" w:rsidP="00165946">
            <w:pPr>
              <w:autoSpaceDE w:val="0"/>
              <w:autoSpaceDN w:val="0"/>
              <w:adjustRightInd w:val="0"/>
              <w:rPr>
                <w:rFonts w:ascii="CIDFont+F6" w:hAnsi="CIDFont+F6" w:cs="CIDFont+F6"/>
                <w:sz w:val="20"/>
                <w:szCs w:val="20"/>
              </w:rPr>
            </w:pPr>
            <w:r w:rsidRPr="009C0FBF">
              <w:rPr>
                <w:rFonts w:ascii="CIDFont+F6" w:hAnsi="CIDFont+F6" w:cs="CIDFont+F6"/>
                <w:sz w:val="20"/>
                <w:szCs w:val="20"/>
              </w:rPr>
              <w:t>Adopter le CPR avant l'évaluation, puis mettre en œuvre le CPR tout au long de la mise en œuvre du projet.</w:t>
            </w:r>
          </w:p>
        </w:tc>
        <w:tc>
          <w:tcPr>
            <w:tcW w:w="3690" w:type="dxa"/>
          </w:tcPr>
          <w:p w14:paraId="21A34069" w14:textId="77777777" w:rsidR="00FB1042" w:rsidRPr="003A184B" w:rsidRDefault="00FB1042" w:rsidP="003354F2">
            <w:pPr>
              <w:keepLines/>
              <w:widowControl w:val="0"/>
              <w:rPr>
                <w:rFonts w:cstheme="minorHAnsi"/>
                <w:sz w:val="20"/>
                <w:szCs w:val="20"/>
              </w:rPr>
            </w:pPr>
          </w:p>
          <w:p w14:paraId="68A89D05" w14:textId="6EAA8E72" w:rsidR="00BD2623" w:rsidRPr="003A184B" w:rsidRDefault="00BD2623" w:rsidP="004B4F30">
            <w:pPr>
              <w:autoSpaceDE w:val="0"/>
              <w:autoSpaceDN w:val="0"/>
              <w:adjustRightInd w:val="0"/>
              <w:rPr>
                <w:rFonts w:ascii="CIDFont+F6" w:hAnsi="CIDFont+F6" w:cs="CIDFont+F6"/>
                <w:sz w:val="20"/>
                <w:szCs w:val="20"/>
              </w:rPr>
            </w:pPr>
            <w:r w:rsidRPr="003A184B">
              <w:rPr>
                <w:rFonts w:ascii="CIDFont+F6" w:hAnsi="CIDFont+F6" w:cs="CIDFont+F6"/>
                <w:sz w:val="20"/>
                <w:szCs w:val="20"/>
              </w:rPr>
              <w:t>UGP</w:t>
            </w:r>
            <w:r w:rsidR="00B82AD6" w:rsidRPr="003A184B">
              <w:rPr>
                <w:rFonts w:ascii="CIDFont+F6" w:hAnsi="CIDFont+F6" w:cs="CIDFont+F6"/>
                <w:sz w:val="20"/>
                <w:szCs w:val="20"/>
              </w:rPr>
              <w:t>C/</w:t>
            </w:r>
            <w:proofErr w:type="spellStart"/>
            <w:r w:rsidR="00B82AD6" w:rsidRPr="003A184B">
              <w:rPr>
                <w:rFonts w:ascii="CIDFont+F6" w:hAnsi="CIDFont+F6" w:cs="CIDFont+F6"/>
                <w:sz w:val="20"/>
                <w:szCs w:val="20"/>
              </w:rPr>
              <w:t>UGPRs</w:t>
            </w:r>
            <w:proofErr w:type="spellEnd"/>
            <w:r w:rsidR="009C0FBF">
              <w:rPr>
                <w:rFonts w:ascii="CIDFont+F6" w:hAnsi="CIDFont+F6" w:cs="CIDFont+F6"/>
                <w:sz w:val="20"/>
                <w:szCs w:val="20"/>
              </w:rPr>
              <w:t>/ONCA et Fournisseurs et prestataires de services</w:t>
            </w:r>
          </w:p>
          <w:p w14:paraId="4DA2D9B9" w14:textId="617AAD1F" w:rsidR="00311C97" w:rsidRPr="003A184B" w:rsidRDefault="00311C97" w:rsidP="00282215">
            <w:pPr>
              <w:autoSpaceDE w:val="0"/>
              <w:autoSpaceDN w:val="0"/>
              <w:adjustRightInd w:val="0"/>
              <w:jc w:val="both"/>
              <w:rPr>
                <w:rFonts w:cstheme="minorHAnsi"/>
                <w:sz w:val="20"/>
                <w:szCs w:val="20"/>
              </w:rPr>
            </w:pPr>
          </w:p>
        </w:tc>
      </w:tr>
      <w:tr w:rsidR="004B4F30" w:rsidRPr="003A184B" w14:paraId="28908A58" w14:textId="77777777" w:rsidTr="003354F2">
        <w:trPr>
          <w:cantSplit/>
          <w:trHeight w:val="20"/>
        </w:trPr>
        <w:tc>
          <w:tcPr>
            <w:tcW w:w="715" w:type="dxa"/>
          </w:tcPr>
          <w:p w14:paraId="33EB66E7" w14:textId="03E6310F" w:rsidR="004B4F30" w:rsidRPr="003A184B" w:rsidRDefault="004B4F30" w:rsidP="003354F2">
            <w:pPr>
              <w:keepLines/>
              <w:widowControl w:val="0"/>
              <w:jc w:val="center"/>
              <w:rPr>
                <w:sz w:val="20"/>
                <w:szCs w:val="20"/>
              </w:rPr>
            </w:pPr>
            <w:r>
              <w:rPr>
                <w:sz w:val="20"/>
                <w:szCs w:val="20"/>
              </w:rPr>
              <w:t>5.2</w:t>
            </w:r>
          </w:p>
        </w:tc>
        <w:tc>
          <w:tcPr>
            <w:tcW w:w="6120" w:type="dxa"/>
          </w:tcPr>
          <w:p w14:paraId="72F8DC8D" w14:textId="77777777" w:rsidR="004B4F30" w:rsidRDefault="004B4F30" w:rsidP="003354F2">
            <w:pPr>
              <w:keepLines/>
              <w:widowControl w:val="0"/>
              <w:rPr>
                <w:b/>
                <w:color w:val="5B9BD5" w:themeColor="accent5"/>
                <w:sz w:val="20"/>
                <w:szCs w:val="20"/>
              </w:rPr>
            </w:pPr>
            <w:r>
              <w:rPr>
                <w:b/>
                <w:color w:val="5B9BD5" w:themeColor="accent5"/>
                <w:sz w:val="20"/>
                <w:szCs w:val="20"/>
              </w:rPr>
              <w:t xml:space="preserve">PLANS DE RESINSTALLATION </w:t>
            </w:r>
          </w:p>
          <w:p w14:paraId="68D76ED4" w14:textId="7F38A8B8" w:rsidR="004B4F30" w:rsidRPr="004B4F30" w:rsidDel="004B4F30" w:rsidRDefault="004B4F30" w:rsidP="003354F2">
            <w:pPr>
              <w:keepLines/>
              <w:widowControl w:val="0"/>
              <w:rPr>
                <w:bCs/>
                <w:color w:val="5B9BD5" w:themeColor="accent5"/>
                <w:sz w:val="20"/>
                <w:szCs w:val="20"/>
              </w:rPr>
            </w:pPr>
            <w:r w:rsidRPr="00165946">
              <w:rPr>
                <w:bCs/>
                <w:sz w:val="20"/>
                <w:szCs w:val="20"/>
              </w:rPr>
              <w:t>Adopter et mettre en œuvre un plan d'action de réinstallation (PAR) pour chaque activité dans le cadre du projet pour laquelle le CPR exige un tel PAR, comme indiqué dans le CPR, et conformément à la NES 5.</w:t>
            </w:r>
          </w:p>
        </w:tc>
        <w:tc>
          <w:tcPr>
            <w:tcW w:w="3780" w:type="dxa"/>
          </w:tcPr>
          <w:p w14:paraId="6B389774" w14:textId="77777777" w:rsidR="004B4F30" w:rsidRPr="003A184B" w:rsidRDefault="004B4F30" w:rsidP="004B4F30">
            <w:pPr>
              <w:autoSpaceDE w:val="0"/>
              <w:autoSpaceDN w:val="0"/>
              <w:adjustRightInd w:val="0"/>
              <w:jc w:val="both"/>
              <w:rPr>
                <w:rFonts w:ascii="CIDFont+F6" w:hAnsi="CIDFont+F6" w:cs="CIDFont+F6"/>
                <w:sz w:val="20"/>
                <w:szCs w:val="20"/>
              </w:rPr>
            </w:pPr>
            <w:r w:rsidRPr="003A184B">
              <w:rPr>
                <w:rFonts w:ascii="CIDFont+F6" w:hAnsi="CIDFont+F6" w:cs="CIDFont+F6"/>
                <w:sz w:val="20"/>
                <w:szCs w:val="20"/>
              </w:rPr>
              <w:t xml:space="preserve">Les PAR seront préparés, consultés, rendus public et mis en œuvre </w:t>
            </w:r>
            <w:r w:rsidRPr="003A184B">
              <w:rPr>
                <w:rFonts w:cstheme="minorHAnsi"/>
                <w:sz w:val="20"/>
                <w:szCs w:val="20"/>
              </w:rPr>
              <w:t xml:space="preserve">(y compris le paiement d'une indemnisation) </w:t>
            </w:r>
            <w:r w:rsidRPr="003A184B">
              <w:rPr>
                <w:rFonts w:ascii="CIDFont+F6" w:hAnsi="CIDFont+F6" w:cs="CIDFont+F6"/>
                <w:sz w:val="20"/>
                <w:szCs w:val="20"/>
              </w:rPr>
              <w:t>avant le démarrage des travaux des sous-projets.</w:t>
            </w:r>
          </w:p>
          <w:p w14:paraId="2BC39CB9" w14:textId="77777777" w:rsidR="004B4F30" w:rsidRPr="003A184B" w:rsidRDefault="004B4F30" w:rsidP="003354F2">
            <w:pPr>
              <w:keepLines/>
              <w:widowControl w:val="0"/>
              <w:jc w:val="both"/>
              <w:rPr>
                <w:sz w:val="20"/>
                <w:szCs w:val="20"/>
              </w:rPr>
            </w:pPr>
          </w:p>
        </w:tc>
        <w:tc>
          <w:tcPr>
            <w:tcW w:w="3690" w:type="dxa"/>
          </w:tcPr>
          <w:p w14:paraId="0A6039A8" w14:textId="5D6A4ADC" w:rsidR="004B4F30" w:rsidRPr="003A184B" w:rsidRDefault="004B4F30" w:rsidP="003354F2">
            <w:pPr>
              <w:keepLines/>
              <w:widowControl w:val="0"/>
              <w:rPr>
                <w:rFonts w:cstheme="minorHAnsi"/>
                <w:sz w:val="20"/>
                <w:szCs w:val="20"/>
              </w:rPr>
            </w:pPr>
            <w:r w:rsidRPr="003A184B">
              <w:rPr>
                <w:rFonts w:ascii="CIDFont+F6" w:hAnsi="CIDFont+F6" w:cs="CIDFont+F6"/>
                <w:sz w:val="20"/>
                <w:szCs w:val="20"/>
              </w:rPr>
              <w:t xml:space="preserve">UGPC / </w:t>
            </w:r>
            <w:proofErr w:type="spellStart"/>
            <w:r w:rsidRPr="003A184B">
              <w:rPr>
                <w:rFonts w:ascii="CIDFont+F6" w:hAnsi="CIDFont+F6" w:cs="CIDFont+F6"/>
                <w:sz w:val="20"/>
                <w:szCs w:val="20"/>
              </w:rPr>
              <w:t>UGPRs</w:t>
            </w:r>
            <w:proofErr w:type="spellEnd"/>
            <w:r w:rsidRPr="003A184B">
              <w:rPr>
                <w:rFonts w:ascii="CIDFont+F6" w:hAnsi="CIDFont+F6" w:cs="CIDFont+F6"/>
                <w:sz w:val="20"/>
                <w:szCs w:val="20"/>
              </w:rPr>
              <w:t>.</w:t>
            </w:r>
          </w:p>
        </w:tc>
      </w:tr>
      <w:tr w:rsidR="00B82AD6" w:rsidRPr="003A184B" w14:paraId="4DA2D9C0" w14:textId="77777777" w:rsidTr="003354F2">
        <w:trPr>
          <w:cantSplit/>
          <w:trHeight w:val="20"/>
        </w:trPr>
        <w:tc>
          <w:tcPr>
            <w:tcW w:w="715" w:type="dxa"/>
          </w:tcPr>
          <w:p w14:paraId="4DA2D9BB" w14:textId="3A5076AC" w:rsidR="00B82AD6" w:rsidRPr="003A184B" w:rsidRDefault="00B82AD6" w:rsidP="00B82AD6">
            <w:pPr>
              <w:keepLines/>
              <w:widowControl w:val="0"/>
              <w:jc w:val="center"/>
              <w:rPr>
                <w:rFonts w:cstheme="minorHAnsi"/>
                <w:sz w:val="20"/>
                <w:szCs w:val="20"/>
              </w:rPr>
            </w:pPr>
            <w:r w:rsidRPr="003A184B">
              <w:rPr>
                <w:sz w:val="20"/>
                <w:szCs w:val="20"/>
              </w:rPr>
              <w:t>5.</w:t>
            </w:r>
            <w:r w:rsidR="004B4F30">
              <w:rPr>
                <w:sz w:val="20"/>
                <w:szCs w:val="20"/>
              </w:rPr>
              <w:t>3</w:t>
            </w:r>
          </w:p>
        </w:tc>
        <w:tc>
          <w:tcPr>
            <w:tcW w:w="6120" w:type="dxa"/>
          </w:tcPr>
          <w:p w14:paraId="4DA2D9BC" w14:textId="77777777" w:rsidR="00B82AD6" w:rsidRPr="003A184B" w:rsidRDefault="00B82AD6" w:rsidP="00B82AD6">
            <w:pPr>
              <w:keepLines/>
              <w:widowControl w:val="0"/>
              <w:rPr>
                <w:b/>
                <w:color w:val="5B9BD5" w:themeColor="accent5"/>
                <w:sz w:val="20"/>
                <w:szCs w:val="20"/>
              </w:rPr>
            </w:pPr>
            <w:r w:rsidRPr="003A184B">
              <w:rPr>
                <w:b/>
                <w:color w:val="5B9BD5" w:themeColor="accent5"/>
                <w:sz w:val="20"/>
                <w:szCs w:val="20"/>
              </w:rPr>
              <w:t>MÉCANISME DE GESTION DES PLAINTES</w:t>
            </w:r>
          </w:p>
          <w:p w14:paraId="116C0D0E" w14:textId="5BC54B80" w:rsidR="00B82AD6" w:rsidRPr="003A184B" w:rsidRDefault="00B82AD6" w:rsidP="00B82AD6">
            <w:pPr>
              <w:autoSpaceDE w:val="0"/>
              <w:autoSpaceDN w:val="0"/>
              <w:adjustRightInd w:val="0"/>
              <w:jc w:val="both"/>
              <w:rPr>
                <w:rFonts w:ascii="CIDFont+F1" w:hAnsi="CIDFont+F1" w:cs="CIDFont+F1"/>
                <w:sz w:val="20"/>
                <w:szCs w:val="20"/>
              </w:rPr>
            </w:pPr>
            <w:r w:rsidRPr="003A184B">
              <w:rPr>
                <w:rFonts w:ascii="CIDFont+F1" w:hAnsi="CIDFont+F1" w:cs="CIDFont+F1"/>
                <w:sz w:val="20"/>
                <w:szCs w:val="20"/>
              </w:rPr>
              <w:t>Veiller à ce que les PAR et le PMPP fournissent des précisions sur le Mécanisme de gestion des plaintes (MGP) pour traiter les plaintes liées à la réinstallation et à la restriction foncière</w:t>
            </w:r>
          </w:p>
          <w:p w14:paraId="4DA2D9BD" w14:textId="0EB802A1" w:rsidR="00B82AD6" w:rsidRPr="003A184B" w:rsidRDefault="00B82AD6" w:rsidP="00B82AD6">
            <w:pPr>
              <w:autoSpaceDE w:val="0"/>
              <w:autoSpaceDN w:val="0"/>
              <w:adjustRightInd w:val="0"/>
              <w:jc w:val="both"/>
              <w:rPr>
                <w:rFonts w:cstheme="minorHAnsi"/>
                <w:sz w:val="20"/>
                <w:szCs w:val="20"/>
              </w:rPr>
            </w:pPr>
          </w:p>
        </w:tc>
        <w:tc>
          <w:tcPr>
            <w:tcW w:w="3780" w:type="dxa"/>
          </w:tcPr>
          <w:p w14:paraId="1088A33C" w14:textId="1264583D" w:rsidR="00B82AD6" w:rsidRPr="003A184B" w:rsidRDefault="00B82AD6" w:rsidP="00B82AD6">
            <w:pPr>
              <w:keepLines/>
              <w:widowControl w:val="0"/>
              <w:rPr>
                <w:sz w:val="20"/>
                <w:szCs w:val="20"/>
              </w:rPr>
            </w:pPr>
          </w:p>
          <w:p w14:paraId="4DA2D9BE" w14:textId="38236D3F" w:rsidR="00B82AD6" w:rsidRPr="003A184B" w:rsidRDefault="00B82AD6" w:rsidP="00B82AD6">
            <w:pPr>
              <w:autoSpaceDE w:val="0"/>
              <w:autoSpaceDN w:val="0"/>
              <w:adjustRightInd w:val="0"/>
              <w:jc w:val="both"/>
              <w:rPr>
                <w:rFonts w:cstheme="minorHAnsi"/>
                <w:sz w:val="20"/>
                <w:szCs w:val="20"/>
              </w:rPr>
            </w:pPr>
            <w:r w:rsidRPr="003A184B">
              <w:rPr>
                <w:rFonts w:cstheme="minorHAnsi"/>
                <w:sz w:val="20"/>
                <w:szCs w:val="20"/>
              </w:rPr>
              <w:t>Les PAR doivent être préparés, consultés, rendus publics et mis en œuvre (y compris le MGP) avant le début des travaux des sous-projets.</w:t>
            </w:r>
          </w:p>
        </w:tc>
        <w:tc>
          <w:tcPr>
            <w:tcW w:w="3690" w:type="dxa"/>
          </w:tcPr>
          <w:p w14:paraId="67247EFF" w14:textId="77777777" w:rsidR="00B82AD6" w:rsidRPr="003A184B" w:rsidRDefault="00B82AD6" w:rsidP="00B82AD6">
            <w:pPr>
              <w:keepLines/>
              <w:widowControl w:val="0"/>
              <w:rPr>
                <w:rFonts w:cstheme="minorHAnsi"/>
                <w:sz w:val="20"/>
                <w:szCs w:val="20"/>
              </w:rPr>
            </w:pPr>
          </w:p>
          <w:p w14:paraId="4DA2D9BF" w14:textId="7D39C63A" w:rsidR="00B82AD6" w:rsidRPr="003A184B" w:rsidRDefault="00B82AD6" w:rsidP="00B82AD6">
            <w:pPr>
              <w:autoSpaceDE w:val="0"/>
              <w:autoSpaceDN w:val="0"/>
              <w:adjustRightInd w:val="0"/>
              <w:jc w:val="both"/>
              <w:rPr>
                <w:rFonts w:cstheme="minorHAnsi"/>
                <w:sz w:val="20"/>
                <w:szCs w:val="20"/>
              </w:rPr>
            </w:pPr>
            <w:r w:rsidRPr="003A184B">
              <w:rPr>
                <w:rFonts w:ascii="CIDFont+F6" w:hAnsi="CIDFont+F6" w:cs="CIDFont+F6"/>
                <w:sz w:val="20"/>
                <w:szCs w:val="20"/>
              </w:rPr>
              <w:t xml:space="preserve">UGPC / </w:t>
            </w:r>
            <w:proofErr w:type="spellStart"/>
            <w:r w:rsidRPr="003A184B">
              <w:rPr>
                <w:rFonts w:ascii="CIDFont+F6" w:hAnsi="CIDFont+F6" w:cs="CIDFont+F6"/>
                <w:sz w:val="20"/>
                <w:szCs w:val="20"/>
              </w:rPr>
              <w:t>UGPRs</w:t>
            </w:r>
            <w:proofErr w:type="spellEnd"/>
            <w:r w:rsidRPr="003A184B">
              <w:rPr>
                <w:rFonts w:ascii="CIDFont+F6" w:hAnsi="CIDFont+F6" w:cs="CIDFont+F6"/>
                <w:sz w:val="20"/>
                <w:szCs w:val="20"/>
              </w:rPr>
              <w:t>.</w:t>
            </w:r>
          </w:p>
        </w:tc>
      </w:tr>
      <w:tr w:rsidR="00FB1042" w:rsidRPr="003A184B" w14:paraId="4DA2D9C2" w14:textId="77777777" w:rsidTr="003354F2">
        <w:trPr>
          <w:cantSplit/>
          <w:trHeight w:val="20"/>
        </w:trPr>
        <w:tc>
          <w:tcPr>
            <w:tcW w:w="14305" w:type="dxa"/>
            <w:gridSpan w:val="4"/>
            <w:shd w:val="clear" w:color="auto" w:fill="F4B083" w:themeFill="accent2" w:themeFillTint="99"/>
          </w:tcPr>
          <w:p w14:paraId="4DA2D9C1" w14:textId="11387CE6" w:rsidR="00FB1042" w:rsidRPr="003A184B" w:rsidRDefault="00FB1042" w:rsidP="003354F2">
            <w:pPr>
              <w:keepLines/>
              <w:widowControl w:val="0"/>
              <w:rPr>
                <w:rFonts w:cstheme="minorHAnsi"/>
                <w:sz w:val="20"/>
                <w:szCs w:val="20"/>
              </w:rPr>
            </w:pPr>
            <w:r w:rsidRPr="003A184B">
              <w:rPr>
                <w:b/>
                <w:sz w:val="20"/>
                <w:szCs w:val="20"/>
              </w:rPr>
              <w:t>NES n</w:t>
            </w:r>
            <w:r w:rsidRPr="003A184B">
              <w:rPr>
                <w:b/>
                <w:sz w:val="20"/>
                <w:szCs w:val="20"/>
                <w:vertAlign w:val="superscript"/>
              </w:rPr>
              <w:t>o</w:t>
            </w:r>
            <w:r w:rsidRPr="003A184B">
              <w:rPr>
                <w:b/>
                <w:sz w:val="20"/>
                <w:szCs w:val="20"/>
              </w:rPr>
              <w:t xml:space="preserve"> 6 : PRÉSERVATION DE LA BIODIVERSITÉ ET GESTION DURABLE DES RESSOURCES NATURELLES BIOLOGIQUES </w:t>
            </w:r>
            <w:r w:rsidR="004B4F30">
              <w:rPr>
                <w:b/>
                <w:sz w:val="20"/>
                <w:szCs w:val="20"/>
              </w:rPr>
              <w:t>[</w:t>
            </w:r>
            <w:r w:rsidR="004B4F30" w:rsidRPr="002A60C9">
              <w:rPr>
                <w:bCs/>
                <w:sz w:val="20"/>
                <w:szCs w:val="20"/>
              </w:rPr>
              <w:t xml:space="preserve">la pertinence de la NES6 est établie lors du processus </w:t>
            </w:r>
            <w:r w:rsidR="004B4F30">
              <w:rPr>
                <w:sz w:val="20"/>
                <w:szCs w:val="20"/>
              </w:rPr>
              <w:t>d’Evaluation Environnementale et Sociale (EES)</w:t>
            </w:r>
            <w:r w:rsidR="004B4F30" w:rsidRPr="002A60C9">
              <w:rPr>
                <w:bCs/>
                <w:sz w:val="20"/>
                <w:szCs w:val="20"/>
              </w:rPr>
              <w:t>. Comme pour les autres NES, la NES 6 peut nécessiter l'adoption de mesures spécifiques qui peuvent être définies dans un instrument E&amp;S (par exemple, le PGES) déjà mentionné dans la section sous la NES 1 ci-dessus ou en tant qu'instrument autonome ou mesure ou action distincte</w:t>
            </w:r>
            <w:r w:rsidR="004B4F30" w:rsidRPr="004B4F30">
              <w:rPr>
                <w:b/>
                <w:sz w:val="20"/>
                <w:szCs w:val="20"/>
              </w:rPr>
              <w:t>. Voir exemples ci-dessous].</w:t>
            </w:r>
          </w:p>
        </w:tc>
      </w:tr>
      <w:tr w:rsidR="00FB1042" w:rsidRPr="003A184B" w14:paraId="4DA2D9C8" w14:textId="77777777" w:rsidTr="003354F2">
        <w:trPr>
          <w:cantSplit/>
          <w:trHeight w:val="20"/>
        </w:trPr>
        <w:tc>
          <w:tcPr>
            <w:tcW w:w="715" w:type="dxa"/>
          </w:tcPr>
          <w:p w14:paraId="4DA2D9C3" w14:textId="77777777" w:rsidR="00FB1042" w:rsidRPr="003A184B" w:rsidRDefault="00FB1042" w:rsidP="003354F2">
            <w:pPr>
              <w:pStyle w:val="Normal-PRsubhead"/>
            </w:pPr>
            <w:r w:rsidRPr="003A184B">
              <w:t>6.1</w:t>
            </w:r>
          </w:p>
        </w:tc>
        <w:tc>
          <w:tcPr>
            <w:tcW w:w="6120" w:type="dxa"/>
          </w:tcPr>
          <w:p w14:paraId="4DA2D9C4" w14:textId="77777777" w:rsidR="00FB1042" w:rsidRPr="003A184B" w:rsidRDefault="00FB1042" w:rsidP="003354F2">
            <w:pPr>
              <w:pStyle w:val="Normal-PRsubhead"/>
              <w:rPr>
                <w:b/>
              </w:rPr>
            </w:pPr>
            <w:r w:rsidRPr="003A184B">
              <w:rPr>
                <w:b/>
              </w:rPr>
              <w:t>RISQUES ET EFFETS SUR LA BIODIVERSITÉ</w:t>
            </w:r>
          </w:p>
          <w:p w14:paraId="14846C21" w14:textId="0C53EFE1" w:rsidR="00FB1042" w:rsidRPr="003A184B" w:rsidRDefault="00FB1042" w:rsidP="003354F2">
            <w:pPr>
              <w:keepLines/>
              <w:widowControl w:val="0"/>
              <w:rPr>
                <w:rFonts w:cstheme="minorHAnsi"/>
                <w:sz w:val="20"/>
                <w:szCs w:val="20"/>
              </w:rPr>
            </w:pPr>
          </w:p>
          <w:p w14:paraId="4DA2D9C5" w14:textId="4BD501CD" w:rsidR="00B82AD6" w:rsidRPr="003A184B" w:rsidRDefault="004B4F30" w:rsidP="00B82AD6">
            <w:pPr>
              <w:keepLines/>
              <w:widowControl w:val="0"/>
              <w:rPr>
                <w:sz w:val="20"/>
                <w:szCs w:val="20"/>
              </w:rPr>
            </w:pPr>
            <w:r>
              <w:rPr>
                <w:sz w:val="20"/>
                <w:szCs w:val="20"/>
              </w:rPr>
              <w:t xml:space="preserve">Non Applicable </w:t>
            </w:r>
          </w:p>
        </w:tc>
        <w:tc>
          <w:tcPr>
            <w:tcW w:w="3780" w:type="dxa"/>
          </w:tcPr>
          <w:p w14:paraId="658B67E8" w14:textId="0B264A81" w:rsidR="00FB1042" w:rsidRPr="003A184B" w:rsidRDefault="00FB1042" w:rsidP="003354F2">
            <w:pPr>
              <w:keepLines/>
              <w:widowControl w:val="0"/>
              <w:rPr>
                <w:sz w:val="20"/>
                <w:szCs w:val="20"/>
              </w:rPr>
            </w:pPr>
          </w:p>
          <w:p w14:paraId="0DF15DAD" w14:textId="77777777" w:rsidR="00B4747F" w:rsidRPr="003A184B" w:rsidRDefault="00B4747F" w:rsidP="003354F2">
            <w:pPr>
              <w:keepLines/>
              <w:widowControl w:val="0"/>
              <w:rPr>
                <w:sz w:val="20"/>
                <w:szCs w:val="20"/>
              </w:rPr>
            </w:pPr>
          </w:p>
          <w:p w14:paraId="4DA2D9C6" w14:textId="45B3062A" w:rsidR="00B82AD6" w:rsidRPr="003A184B" w:rsidRDefault="004B4F30" w:rsidP="003354F2">
            <w:pPr>
              <w:keepLines/>
              <w:widowControl w:val="0"/>
              <w:rPr>
                <w:rFonts w:cstheme="minorHAnsi"/>
                <w:sz w:val="20"/>
                <w:szCs w:val="20"/>
              </w:rPr>
            </w:pPr>
            <w:r>
              <w:rPr>
                <w:rFonts w:cstheme="minorHAnsi"/>
                <w:sz w:val="20"/>
                <w:szCs w:val="20"/>
              </w:rPr>
              <w:t>N/</w:t>
            </w:r>
            <w:proofErr w:type="gramStart"/>
            <w:r>
              <w:rPr>
                <w:rFonts w:cstheme="minorHAnsi"/>
                <w:sz w:val="20"/>
                <w:szCs w:val="20"/>
              </w:rPr>
              <w:t xml:space="preserve">A </w:t>
            </w:r>
            <w:r w:rsidR="00B82AD6" w:rsidRPr="003A184B">
              <w:rPr>
                <w:rFonts w:cstheme="minorHAnsi"/>
                <w:sz w:val="20"/>
                <w:szCs w:val="20"/>
              </w:rPr>
              <w:t>.</w:t>
            </w:r>
            <w:proofErr w:type="gramEnd"/>
          </w:p>
        </w:tc>
        <w:tc>
          <w:tcPr>
            <w:tcW w:w="3690" w:type="dxa"/>
          </w:tcPr>
          <w:p w14:paraId="4DA2D9C7" w14:textId="2894AB57" w:rsidR="00FB1042" w:rsidRPr="003A184B" w:rsidRDefault="004B4F30" w:rsidP="003354F2">
            <w:pPr>
              <w:keepLines/>
              <w:widowControl w:val="0"/>
              <w:rPr>
                <w:rFonts w:cstheme="minorHAnsi"/>
                <w:sz w:val="20"/>
                <w:szCs w:val="20"/>
              </w:rPr>
            </w:pPr>
            <w:r>
              <w:rPr>
                <w:rFonts w:cstheme="minorHAnsi"/>
                <w:sz w:val="20"/>
                <w:szCs w:val="20"/>
              </w:rPr>
              <w:t>N/A</w:t>
            </w:r>
            <w:r w:rsidR="00B4747F" w:rsidRPr="003A184B">
              <w:rPr>
                <w:rFonts w:cstheme="minorHAnsi"/>
                <w:sz w:val="20"/>
                <w:szCs w:val="20"/>
              </w:rPr>
              <w:t>.</w:t>
            </w:r>
          </w:p>
        </w:tc>
      </w:tr>
      <w:tr w:rsidR="00FB1042" w:rsidRPr="003A184B" w14:paraId="4DA2D9CA" w14:textId="77777777" w:rsidTr="003354F2">
        <w:trPr>
          <w:cantSplit/>
          <w:trHeight w:val="602"/>
        </w:trPr>
        <w:tc>
          <w:tcPr>
            <w:tcW w:w="14305" w:type="dxa"/>
            <w:gridSpan w:val="4"/>
            <w:shd w:val="clear" w:color="auto" w:fill="F4B083" w:themeFill="accent2" w:themeFillTint="99"/>
          </w:tcPr>
          <w:p w14:paraId="4DA2D9C9" w14:textId="7E4A173C" w:rsidR="00FB1042" w:rsidRPr="003A184B" w:rsidRDefault="00FB1042" w:rsidP="003354F2">
            <w:pPr>
              <w:keepLines/>
              <w:widowControl w:val="0"/>
              <w:rPr>
                <w:rFonts w:cstheme="minorHAnsi"/>
                <w:sz w:val="20"/>
                <w:szCs w:val="20"/>
              </w:rPr>
            </w:pPr>
            <w:r w:rsidRPr="003A184B">
              <w:rPr>
                <w:b/>
                <w:sz w:val="20"/>
                <w:szCs w:val="20"/>
              </w:rPr>
              <w:t>NES n</w:t>
            </w:r>
            <w:r w:rsidRPr="003A184B">
              <w:rPr>
                <w:b/>
                <w:sz w:val="20"/>
                <w:szCs w:val="20"/>
                <w:vertAlign w:val="superscript"/>
              </w:rPr>
              <w:t>o</w:t>
            </w:r>
            <w:r w:rsidRPr="003A184B">
              <w:rPr>
                <w:b/>
                <w:sz w:val="20"/>
                <w:szCs w:val="20"/>
              </w:rPr>
              <w:t xml:space="preserve"> 7 : PEUPLES AUTOCHTONES/COMMUNAUTÉS LOCALES TRADITIONNELLES D’AFRIQUE SUBSAHARIENNE HISTORIQUEMENT DÉFAVORISÉES </w:t>
            </w:r>
            <w:r w:rsidR="004B4F30">
              <w:rPr>
                <w:b/>
                <w:sz w:val="20"/>
                <w:szCs w:val="20"/>
              </w:rPr>
              <w:t>[</w:t>
            </w:r>
            <w:r w:rsidR="004B4F30" w:rsidRPr="00165946">
              <w:rPr>
                <w:bCs/>
                <w:sz w:val="20"/>
                <w:szCs w:val="20"/>
              </w:rPr>
              <w:t>Voir ci-dessous des exemples d'actions possibles qui peuvent être utilisées s'il est déterminé que la NES7 est pertinente, comme indiqué au paragraphe 54 de la politique E&amp;S et aux paragraphes 8 à 10 de la NES7</w:t>
            </w:r>
            <w:r w:rsidR="00165946">
              <w:rPr>
                <w:bCs/>
                <w:sz w:val="20"/>
                <w:szCs w:val="20"/>
              </w:rPr>
              <w:t>]</w:t>
            </w:r>
          </w:p>
        </w:tc>
      </w:tr>
      <w:tr w:rsidR="004B4F30" w:rsidRPr="003A184B" w14:paraId="4491D4BB" w14:textId="77777777" w:rsidTr="003354F2">
        <w:trPr>
          <w:cantSplit/>
          <w:trHeight w:val="20"/>
        </w:trPr>
        <w:tc>
          <w:tcPr>
            <w:tcW w:w="715" w:type="dxa"/>
          </w:tcPr>
          <w:p w14:paraId="519838E7" w14:textId="662C0648" w:rsidR="004B4F30" w:rsidRPr="003A184B" w:rsidRDefault="004B4F30" w:rsidP="004B4F30">
            <w:pPr>
              <w:pStyle w:val="Normal-PRsubhead"/>
            </w:pPr>
            <w:r>
              <w:t>7.1</w:t>
            </w:r>
          </w:p>
        </w:tc>
        <w:tc>
          <w:tcPr>
            <w:tcW w:w="6120" w:type="dxa"/>
          </w:tcPr>
          <w:p w14:paraId="424523C2" w14:textId="77777777" w:rsidR="004B4F30" w:rsidRDefault="004B4F30" w:rsidP="004B4F30">
            <w:pPr>
              <w:keepLines/>
              <w:widowControl w:val="0"/>
              <w:rPr>
                <w:b/>
                <w:color w:val="5B9BD5" w:themeColor="accent5"/>
                <w:sz w:val="20"/>
                <w:szCs w:val="20"/>
              </w:rPr>
            </w:pPr>
            <w:r w:rsidRPr="004B4F30">
              <w:rPr>
                <w:b/>
                <w:color w:val="5B9BD5" w:themeColor="accent5"/>
                <w:sz w:val="20"/>
                <w:szCs w:val="20"/>
              </w:rPr>
              <w:t xml:space="preserve">CADRE DE PLANIFICATION </w:t>
            </w:r>
            <w:r>
              <w:rPr>
                <w:b/>
                <w:color w:val="5B9BD5" w:themeColor="accent5"/>
                <w:sz w:val="20"/>
                <w:szCs w:val="20"/>
              </w:rPr>
              <w:t>POUR LES</w:t>
            </w:r>
            <w:r w:rsidRPr="004B4F30">
              <w:rPr>
                <w:b/>
                <w:color w:val="5B9BD5" w:themeColor="accent5"/>
                <w:sz w:val="20"/>
                <w:szCs w:val="20"/>
              </w:rPr>
              <w:t xml:space="preserve"> PEUPLES AUTOCHTONES</w:t>
            </w:r>
          </w:p>
          <w:p w14:paraId="57CBD394" w14:textId="71799620" w:rsidR="004B4F30" w:rsidRPr="003A184B" w:rsidRDefault="004B4F30" w:rsidP="004B4F30">
            <w:pPr>
              <w:keepLines/>
              <w:widowControl w:val="0"/>
              <w:rPr>
                <w:b/>
                <w:color w:val="5B9BD5" w:themeColor="accent5"/>
                <w:sz w:val="20"/>
                <w:szCs w:val="20"/>
              </w:rPr>
            </w:pPr>
            <w:r w:rsidRPr="003A184B">
              <w:rPr>
                <w:rFonts w:cstheme="minorHAnsi"/>
                <w:sz w:val="20"/>
                <w:szCs w:val="20"/>
              </w:rPr>
              <w:t>Non applicable</w:t>
            </w:r>
          </w:p>
        </w:tc>
        <w:tc>
          <w:tcPr>
            <w:tcW w:w="3780" w:type="dxa"/>
          </w:tcPr>
          <w:p w14:paraId="4180B08E" w14:textId="3876503D" w:rsidR="004B4F30" w:rsidRPr="003A184B" w:rsidRDefault="004B4F30" w:rsidP="004B4F30">
            <w:pPr>
              <w:keepLines/>
              <w:widowControl w:val="0"/>
              <w:rPr>
                <w:bCs/>
                <w:sz w:val="20"/>
                <w:szCs w:val="20"/>
              </w:rPr>
            </w:pPr>
            <w:r w:rsidRPr="003A184B">
              <w:rPr>
                <w:bCs/>
                <w:sz w:val="20"/>
                <w:szCs w:val="20"/>
              </w:rPr>
              <w:t>N/A</w:t>
            </w:r>
          </w:p>
        </w:tc>
        <w:tc>
          <w:tcPr>
            <w:tcW w:w="3690" w:type="dxa"/>
          </w:tcPr>
          <w:p w14:paraId="0101FE9F" w14:textId="4251CD7A" w:rsidR="004B4F30" w:rsidRPr="003A184B" w:rsidRDefault="004B4F30" w:rsidP="004B4F30">
            <w:pPr>
              <w:keepLines/>
              <w:widowControl w:val="0"/>
              <w:rPr>
                <w:rFonts w:cstheme="minorHAnsi"/>
                <w:sz w:val="20"/>
                <w:szCs w:val="20"/>
              </w:rPr>
            </w:pPr>
            <w:r w:rsidRPr="00D539CA">
              <w:rPr>
                <w:bCs/>
                <w:sz w:val="20"/>
                <w:szCs w:val="20"/>
              </w:rPr>
              <w:t>N/A</w:t>
            </w:r>
          </w:p>
        </w:tc>
      </w:tr>
      <w:tr w:rsidR="004B4F30" w:rsidRPr="003A184B" w14:paraId="4DA2D9D0" w14:textId="77777777" w:rsidTr="003354F2">
        <w:trPr>
          <w:cantSplit/>
          <w:trHeight w:val="20"/>
        </w:trPr>
        <w:tc>
          <w:tcPr>
            <w:tcW w:w="715" w:type="dxa"/>
          </w:tcPr>
          <w:p w14:paraId="4DA2D9CB" w14:textId="6A7DF601" w:rsidR="004B4F30" w:rsidRPr="003A184B" w:rsidRDefault="004B4F30" w:rsidP="004B4F30">
            <w:pPr>
              <w:pStyle w:val="Normal-PRsubhead"/>
            </w:pPr>
            <w:r w:rsidRPr="003A184B">
              <w:lastRenderedPageBreak/>
              <w:t>7.</w:t>
            </w:r>
            <w:r>
              <w:t>2</w:t>
            </w:r>
          </w:p>
        </w:tc>
        <w:tc>
          <w:tcPr>
            <w:tcW w:w="6120" w:type="dxa"/>
          </w:tcPr>
          <w:p w14:paraId="4DA2D9CC" w14:textId="77777777" w:rsidR="004B4F30" w:rsidRPr="003A184B" w:rsidRDefault="004B4F30" w:rsidP="004B4F30">
            <w:pPr>
              <w:keepLines/>
              <w:widowControl w:val="0"/>
              <w:rPr>
                <w:b/>
                <w:color w:val="5B9BD5" w:themeColor="accent5"/>
                <w:sz w:val="20"/>
                <w:szCs w:val="20"/>
              </w:rPr>
            </w:pPr>
            <w:r w:rsidRPr="003A184B">
              <w:rPr>
                <w:b/>
                <w:color w:val="5B9BD5" w:themeColor="accent5"/>
                <w:sz w:val="20"/>
                <w:szCs w:val="20"/>
              </w:rPr>
              <w:t>PLAN POUR LES PEUPLES AUTOCHTONES </w:t>
            </w:r>
          </w:p>
          <w:p w14:paraId="4DA2D9CD" w14:textId="77777777" w:rsidR="004B4F30" w:rsidRPr="003A184B" w:rsidRDefault="004B4F30" w:rsidP="004B4F30">
            <w:pPr>
              <w:keepLines/>
              <w:widowControl w:val="0"/>
              <w:rPr>
                <w:rFonts w:cstheme="minorHAnsi"/>
                <w:sz w:val="20"/>
                <w:szCs w:val="20"/>
              </w:rPr>
            </w:pPr>
            <w:r w:rsidRPr="003A184B">
              <w:rPr>
                <w:rFonts w:cstheme="minorHAnsi"/>
                <w:sz w:val="20"/>
                <w:szCs w:val="20"/>
              </w:rPr>
              <w:t xml:space="preserve">Non applicable </w:t>
            </w:r>
          </w:p>
        </w:tc>
        <w:tc>
          <w:tcPr>
            <w:tcW w:w="3780" w:type="dxa"/>
          </w:tcPr>
          <w:p w14:paraId="4DA2D9CE" w14:textId="77777777" w:rsidR="004B4F30" w:rsidRPr="003A184B" w:rsidRDefault="004B4F30" w:rsidP="004B4F30">
            <w:pPr>
              <w:keepLines/>
              <w:widowControl w:val="0"/>
              <w:rPr>
                <w:rFonts w:cstheme="minorHAnsi"/>
                <w:sz w:val="20"/>
                <w:szCs w:val="20"/>
              </w:rPr>
            </w:pPr>
            <w:r w:rsidRPr="003A184B">
              <w:rPr>
                <w:bCs/>
                <w:sz w:val="20"/>
                <w:szCs w:val="20"/>
              </w:rPr>
              <w:t>N/A</w:t>
            </w:r>
          </w:p>
        </w:tc>
        <w:tc>
          <w:tcPr>
            <w:tcW w:w="3690" w:type="dxa"/>
          </w:tcPr>
          <w:p w14:paraId="4DA2D9CF" w14:textId="57448A99" w:rsidR="004B4F30" w:rsidRPr="003A184B" w:rsidRDefault="004B4F30" w:rsidP="004B4F30">
            <w:pPr>
              <w:keepLines/>
              <w:widowControl w:val="0"/>
              <w:rPr>
                <w:rFonts w:cstheme="minorHAnsi"/>
                <w:sz w:val="20"/>
                <w:szCs w:val="20"/>
              </w:rPr>
            </w:pPr>
            <w:r w:rsidRPr="00D539CA">
              <w:rPr>
                <w:bCs/>
                <w:sz w:val="20"/>
                <w:szCs w:val="20"/>
              </w:rPr>
              <w:t>N/A</w:t>
            </w:r>
          </w:p>
        </w:tc>
      </w:tr>
      <w:tr w:rsidR="004B4F30" w:rsidRPr="003A184B" w14:paraId="5E11992A" w14:textId="77777777" w:rsidTr="003354F2">
        <w:trPr>
          <w:cantSplit/>
          <w:trHeight w:val="20"/>
        </w:trPr>
        <w:tc>
          <w:tcPr>
            <w:tcW w:w="715" w:type="dxa"/>
          </w:tcPr>
          <w:p w14:paraId="539D71A6" w14:textId="29D23A94" w:rsidR="004B4F30" w:rsidRPr="003A184B" w:rsidRDefault="004B4F30" w:rsidP="004B4F30">
            <w:pPr>
              <w:pStyle w:val="Normal-PRsubhead"/>
            </w:pPr>
            <w:r>
              <w:t>7.3</w:t>
            </w:r>
          </w:p>
        </w:tc>
        <w:tc>
          <w:tcPr>
            <w:tcW w:w="6120" w:type="dxa"/>
          </w:tcPr>
          <w:p w14:paraId="7ABE985C" w14:textId="77777777" w:rsidR="004B4F30" w:rsidRPr="003A184B" w:rsidRDefault="004B4F30" w:rsidP="004B4F30">
            <w:pPr>
              <w:keepLines/>
              <w:widowControl w:val="0"/>
              <w:rPr>
                <w:b/>
                <w:color w:val="5B9BD5" w:themeColor="accent5"/>
                <w:sz w:val="20"/>
                <w:szCs w:val="20"/>
              </w:rPr>
            </w:pPr>
            <w:r w:rsidRPr="003A184B">
              <w:rPr>
                <w:b/>
                <w:color w:val="5B9BD5" w:themeColor="accent5"/>
                <w:sz w:val="20"/>
                <w:szCs w:val="20"/>
              </w:rPr>
              <w:t>MÉCANISME DE GESTION DES PLAINTES</w:t>
            </w:r>
          </w:p>
          <w:p w14:paraId="5A1DCDBC" w14:textId="6B092F14" w:rsidR="004B4F30" w:rsidRPr="003A184B" w:rsidRDefault="004B4F30" w:rsidP="004B4F30">
            <w:pPr>
              <w:keepLines/>
              <w:widowControl w:val="0"/>
              <w:rPr>
                <w:b/>
                <w:color w:val="5B9BD5" w:themeColor="accent5"/>
                <w:sz w:val="20"/>
                <w:szCs w:val="20"/>
              </w:rPr>
            </w:pPr>
            <w:r w:rsidRPr="003A184B">
              <w:rPr>
                <w:rFonts w:cstheme="minorHAnsi"/>
                <w:sz w:val="20"/>
                <w:szCs w:val="20"/>
              </w:rPr>
              <w:t>Non applicable</w:t>
            </w:r>
          </w:p>
        </w:tc>
        <w:tc>
          <w:tcPr>
            <w:tcW w:w="3780" w:type="dxa"/>
          </w:tcPr>
          <w:p w14:paraId="446A9CBC" w14:textId="2DF0FDAB" w:rsidR="004B4F30" w:rsidRPr="003A184B" w:rsidRDefault="004B4F30" w:rsidP="004B4F30">
            <w:pPr>
              <w:keepLines/>
              <w:widowControl w:val="0"/>
              <w:rPr>
                <w:bCs/>
                <w:sz w:val="20"/>
                <w:szCs w:val="20"/>
              </w:rPr>
            </w:pPr>
            <w:r w:rsidRPr="003A184B">
              <w:rPr>
                <w:bCs/>
                <w:sz w:val="20"/>
                <w:szCs w:val="20"/>
              </w:rPr>
              <w:t>N/A</w:t>
            </w:r>
          </w:p>
        </w:tc>
        <w:tc>
          <w:tcPr>
            <w:tcW w:w="3690" w:type="dxa"/>
          </w:tcPr>
          <w:p w14:paraId="490BA04E" w14:textId="7B860225" w:rsidR="004B4F30" w:rsidRPr="003A184B" w:rsidRDefault="004B4F30" w:rsidP="004B4F30">
            <w:pPr>
              <w:keepLines/>
              <w:widowControl w:val="0"/>
              <w:rPr>
                <w:rFonts w:cstheme="minorHAnsi"/>
                <w:sz w:val="20"/>
                <w:szCs w:val="20"/>
              </w:rPr>
            </w:pPr>
            <w:r w:rsidRPr="00D539CA">
              <w:rPr>
                <w:bCs/>
                <w:sz w:val="20"/>
                <w:szCs w:val="20"/>
              </w:rPr>
              <w:t>N/A</w:t>
            </w:r>
          </w:p>
        </w:tc>
      </w:tr>
      <w:tr w:rsidR="00FB1042" w:rsidRPr="003A184B" w14:paraId="4DA2D9D8" w14:textId="77777777" w:rsidTr="003354F2">
        <w:trPr>
          <w:cantSplit/>
          <w:trHeight w:val="20"/>
        </w:trPr>
        <w:tc>
          <w:tcPr>
            <w:tcW w:w="14305" w:type="dxa"/>
            <w:gridSpan w:val="4"/>
            <w:shd w:val="clear" w:color="auto" w:fill="F4B083" w:themeFill="accent2" w:themeFillTint="99"/>
          </w:tcPr>
          <w:p w14:paraId="4DA2D9D7" w14:textId="1E0CC04B" w:rsidR="00FB1042" w:rsidRPr="003A184B" w:rsidRDefault="00FB1042" w:rsidP="003354F2">
            <w:pPr>
              <w:keepLines/>
              <w:widowControl w:val="0"/>
              <w:rPr>
                <w:rFonts w:cstheme="minorHAnsi"/>
                <w:sz w:val="20"/>
                <w:szCs w:val="20"/>
              </w:rPr>
            </w:pPr>
            <w:r w:rsidRPr="003A184B">
              <w:rPr>
                <w:b/>
                <w:sz w:val="20"/>
                <w:szCs w:val="20"/>
              </w:rPr>
              <w:t>NES n</w:t>
            </w:r>
            <w:r w:rsidRPr="003A184B">
              <w:rPr>
                <w:b/>
                <w:sz w:val="20"/>
                <w:szCs w:val="20"/>
                <w:vertAlign w:val="superscript"/>
              </w:rPr>
              <w:t>o</w:t>
            </w:r>
            <w:r w:rsidRPr="003A184B">
              <w:rPr>
                <w:b/>
                <w:sz w:val="20"/>
                <w:szCs w:val="20"/>
              </w:rPr>
              <w:t xml:space="preserve"> 8 : PATRIMOINE CULTUREL </w:t>
            </w:r>
            <w:r w:rsidR="004B4F30">
              <w:rPr>
                <w:b/>
                <w:sz w:val="20"/>
                <w:szCs w:val="20"/>
              </w:rPr>
              <w:t>[</w:t>
            </w:r>
            <w:r w:rsidR="004B4F30" w:rsidRPr="002A60C9">
              <w:rPr>
                <w:bCs/>
                <w:sz w:val="20"/>
                <w:szCs w:val="20"/>
              </w:rPr>
              <w:t>la pertinence de l</w:t>
            </w:r>
            <w:r w:rsidR="004B4F30">
              <w:rPr>
                <w:bCs/>
                <w:sz w:val="20"/>
                <w:szCs w:val="20"/>
              </w:rPr>
              <w:t>a N</w:t>
            </w:r>
            <w:r w:rsidR="004B4F30" w:rsidRPr="002A60C9">
              <w:rPr>
                <w:bCs/>
                <w:sz w:val="20"/>
                <w:szCs w:val="20"/>
              </w:rPr>
              <w:t>ES</w:t>
            </w:r>
            <w:r w:rsidR="004B4F30">
              <w:rPr>
                <w:bCs/>
                <w:sz w:val="20"/>
                <w:szCs w:val="20"/>
              </w:rPr>
              <w:t xml:space="preserve"> </w:t>
            </w:r>
            <w:r w:rsidR="004B4F30" w:rsidRPr="002A60C9">
              <w:rPr>
                <w:bCs/>
                <w:sz w:val="20"/>
                <w:szCs w:val="20"/>
              </w:rPr>
              <w:t xml:space="preserve">8 est établie lors du processus </w:t>
            </w:r>
            <w:r w:rsidR="004B4F30">
              <w:rPr>
                <w:sz w:val="20"/>
                <w:szCs w:val="20"/>
              </w:rPr>
              <w:t>d’Evaluation Environnementale et Sociale (EES)</w:t>
            </w:r>
            <w:r w:rsidR="004B4F30" w:rsidRPr="002A60C9">
              <w:rPr>
                <w:bCs/>
                <w:sz w:val="20"/>
                <w:szCs w:val="20"/>
              </w:rPr>
              <w:t>. Comme pour les autres NES, la NES 8 peut nécessiter l'adoption de mesures spécifiques qui peuvent être définies dans un instrument E&amp;S (par exemple, le PGES) déjà mentionné dans la section sous la NES 1 ci-dessus ou en tant qu'instrument autonome ou mesure ou action distincte</w:t>
            </w:r>
            <w:r w:rsidR="004B4F30" w:rsidRPr="004B4F30">
              <w:rPr>
                <w:b/>
                <w:sz w:val="20"/>
                <w:szCs w:val="20"/>
              </w:rPr>
              <w:t>. Voir exemples ci-dessous].</w:t>
            </w:r>
          </w:p>
        </w:tc>
      </w:tr>
      <w:tr w:rsidR="00C374FD" w:rsidRPr="003A184B" w14:paraId="4DA2D9DE" w14:textId="77777777" w:rsidTr="003354F2">
        <w:trPr>
          <w:cantSplit/>
          <w:trHeight w:val="548"/>
        </w:trPr>
        <w:tc>
          <w:tcPr>
            <w:tcW w:w="715" w:type="dxa"/>
          </w:tcPr>
          <w:p w14:paraId="4DA2D9D9" w14:textId="77777777" w:rsidR="00C374FD" w:rsidRPr="003A184B" w:rsidRDefault="00C374FD" w:rsidP="00C374FD">
            <w:pPr>
              <w:pStyle w:val="Normal-PRsubhead"/>
              <w:rPr>
                <w:b/>
              </w:rPr>
            </w:pPr>
            <w:r w:rsidRPr="003A184B">
              <w:t>8.1</w:t>
            </w:r>
          </w:p>
        </w:tc>
        <w:tc>
          <w:tcPr>
            <w:tcW w:w="6120" w:type="dxa"/>
          </w:tcPr>
          <w:p w14:paraId="5134BFCB" w14:textId="197D559B" w:rsidR="00C374FD" w:rsidRPr="003A184B" w:rsidRDefault="00C374FD" w:rsidP="00C374FD">
            <w:pPr>
              <w:keepLines/>
              <w:widowControl w:val="0"/>
              <w:rPr>
                <w:b/>
                <w:color w:val="5B9BD5" w:themeColor="accent5"/>
                <w:sz w:val="20"/>
                <w:szCs w:val="20"/>
              </w:rPr>
            </w:pPr>
            <w:r w:rsidRPr="003A184B">
              <w:rPr>
                <w:b/>
                <w:color w:val="5B9BD5" w:themeColor="accent5"/>
                <w:sz w:val="20"/>
                <w:szCs w:val="20"/>
              </w:rPr>
              <w:t>DÉCOUVERTES FORTUITES</w:t>
            </w:r>
          </w:p>
          <w:p w14:paraId="1E9C4AD0" w14:textId="77777777" w:rsidR="00C374FD" w:rsidRDefault="00C374FD" w:rsidP="00C374FD">
            <w:pPr>
              <w:autoSpaceDE w:val="0"/>
              <w:autoSpaceDN w:val="0"/>
              <w:adjustRightInd w:val="0"/>
              <w:jc w:val="both"/>
              <w:rPr>
                <w:rFonts w:ascii="CIDFont+F1" w:hAnsi="CIDFont+F1" w:cs="CIDFont+F1"/>
                <w:sz w:val="20"/>
                <w:szCs w:val="20"/>
              </w:rPr>
            </w:pPr>
            <w:r w:rsidRPr="004B4F30">
              <w:rPr>
                <w:rFonts w:ascii="CIDFont+F1" w:hAnsi="CIDFont+F1" w:cs="CIDFont+F1"/>
                <w:sz w:val="20"/>
                <w:szCs w:val="20"/>
              </w:rPr>
              <w:t>Décrire et mettre en œuvre les procédures de découverte fortuite dans le cadre du CGES du projet.</w:t>
            </w:r>
          </w:p>
          <w:p w14:paraId="4DA2D9DB" w14:textId="04295404" w:rsidR="00C374FD" w:rsidRPr="003A184B" w:rsidRDefault="00C374FD" w:rsidP="00C374FD">
            <w:pPr>
              <w:autoSpaceDE w:val="0"/>
              <w:autoSpaceDN w:val="0"/>
              <w:adjustRightInd w:val="0"/>
              <w:jc w:val="both"/>
            </w:pPr>
          </w:p>
        </w:tc>
        <w:tc>
          <w:tcPr>
            <w:tcW w:w="3780" w:type="dxa"/>
          </w:tcPr>
          <w:p w14:paraId="4DA2D9DC" w14:textId="5F213F11" w:rsidR="00C374FD" w:rsidRPr="003A184B" w:rsidRDefault="00C374FD" w:rsidP="00C374FD">
            <w:pPr>
              <w:autoSpaceDE w:val="0"/>
              <w:autoSpaceDN w:val="0"/>
              <w:adjustRightInd w:val="0"/>
              <w:jc w:val="both"/>
              <w:rPr>
                <w:rFonts w:cstheme="minorHAnsi"/>
                <w:sz w:val="20"/>
                <w:szCs w:val="20"/>
              </w:rPr>
            </w:pPr>
            <w:r w:rsidRPr="004B4F30">
              <w:rPr>
                <w:rFonts w:cstheme="minorHAnsi"/>
                <w:sz w:val="20"/>
                <w:szCs w:val="20"/>
              </w:rPr>
              <w:t xml:space="preserve">Décrire les procédures de découverte fortuite dans </w:t>
            </w:r>
            <w:r>
              <w:rPr>
                <w:rFonts w:cstheme="minorHAnsi"/>
                <w:sz w:val="20"/>
                <w:szCs w:val="20"/>
              </w:rPr>
              <w:t>le CGES</w:t>
            </w:r>
            <w:r w:rsidRPr="004B4F30">
              <w:rPr>
                <w:rFonts w:cstheme="minorHAnsi"/>
                <w:sz w:val="20"/>
                <w:szCs w:val="20"/>
              </w:rPr>
              <w:t>. Mettre en œuvre les procédures tout au long de la mise en œuvre du projet.</w:t>
            </w:r>
          </w:p>
        </w:tc>
        <w:tc>
          <w:tcPr>
            <w:tcW w:w="3690" w:type="dxa"/>
          </w:tcPr>
          <w:p w14:paraId="37746B51" w14:textId="77777777" w:rsidR="00C374FD" w:rsidRPr="003A184B" w:rsidRDefault="00C374FD" w:rsidP="00C374FD">
            <w:pPr>
              <w:keepLines/>
              <w:widowControl w:val="0"/>
              <w:rPr>
                <w:rFonts w:cstheme="minorHAnsi"/>
                <w:sz w:val="20"/>
                <w:szCs w:val="20"/>
              </w:rPr>
            </w:pPr>
          </w:p>
          <w:p w14:paraId="4DA2D9DD" w14:textId="0845E5B6" w:rsidR="00C374FD" w:rsidRPr="003A184B" w:rsidRDefault="00C374FD" w:rsidP="00C374FD">
            <w:pPr>
              <w:autoSpaceDE w:val="0"/>
              <w:autoSpaceDN w:val="0"/>
              <w:adjustRightInd w:val="0"/>
              <w:jc w:val="both"/>
              <w:rPr>
                <w:rFonts w:cstheme="minorHAnsi"/>
                <w:sz w:val="20"/>
                <w:szCs w:val="20"/>
              </w:rPr>
            </w:pPr>
            <w:r w:rsidRPr="003A184B">
              <w:rPr>
                <w:rFonts w:ascii="CIDFont+F6" w:hAnsi="CIDFont+F6" w:cs="CIDFont+F6"/>
                <w:sz w:val="20"/>
                <w:szCs w:val="20"/>
              </w:rPr>
              <w:t xml:space="preserve">UGPC / </w:t>
            </w:r>
            <w:proofErr w:type="spellStart"/>
            <w:r w:rsidRPr="003A184B">
              <w:rPr>
                <w:rFonts w:ascii="CIDFont+F6" w:hAnsi="CIDFont+F6" w:cs="CIDFont+F6"/>
                <w:sz w:val="20"/>
                <w:szCs w:val="20"/>
              </w:rPr>
              <w:t>UGPRs</w:t>
            </w:r>
            <w:proofErr w:type="spellEnd"/>
            <w:r w:rsidRPr="003A184B">
              <w:rPr>
                <w:rFonts w:ascii="CIDFont+F6" w:hAnsi="CIDFont+F6" w:cs="CIDFont+F6"/>
                <w:sz w:val="20"/>
                <w:szCs w:val="20"/>
              </w:rPr>
              <w:t>.</w:t>
            </w:r>
          </w:p>
        </w:tc>
      </w:tr>
    </w:tbl>
    <w:p w14:paraId="4DA2D9DF" w14:textId="77777777" w:rsidR="00FB1042" w:rsidRPr="003A184B" w:rsidRDefault="00FB1042" w:rsidP="00FB1042">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FB1042" w:rsidRPr="003A184B" w14:paraId="4DA2D9E1" w14:textId="77777777" w:rsidTr="00165946">
        <w:trPr>
          <w:cantSplit/>
          <w:trHeight w:val="294"/>
        </w:trPr>
        <w:tc>
          <w:tcPr>
            <w:tcW w:w="14305" w:type="dxa"/>
            <w:gridSpan w:val="4"/>
            <w:shd w:val="clear" w:color="auto" w:fill="F4B083" w:themeFill="accent2" w:themeFillTint="99"/>
          </w:tcPr>
          <w:p w14:paraId="4DA2D9E0" w14:textId="2F2BA949" w:rsidR="00FB1042" w:rsidRPr="003A184B" w:rsidRDefault="00FB1042" w:rsidP="003354F2">
            <w:pPr>
              <w:keepLines/>
              <w:widowControl w:val="0"/>
              <w:rPr>
                <w:rFonts w:cstheme="minorHAnsi"/>
                <w:sz w:val="20"/>
                <w:szCs w:val="20"/>
              </w:rPr>
            </w:pPr>
            <w:r w:rsidRPr="003A184B">
              <w:rPr>
                <w:b/>
                <w:sz w:val="20"/>
                <w:szCs w:val="20"/>
              </w:rPr>
              <w:t>NES n</w:t>
            </w:r>
            <w:r w:rsidRPr="003A184B">
              <w:rPr>
                <w:b/>
                <w:sz w:val="20"/>
                <w:szCs w:val="20"/>
                <w:vertAlign w:val="superscript"/>
              </w:rPr>
              <w:t>o</w:t>
            </w:r>
            <w:r w:rsidRPr="003A184B">
              <w:rPr>
                <w:b/>
                <w:sz w:val="20"/>
                <w:szCs w:val="20"/>
              </w:rPr>
              <w:t xml:space="preserve"> 9 : INTERMÉDIAIRES FINANCIERS </w:t>
            </w:r>
            <w:r w:rsidR="00B1725B">
              <w:rPr>
                <w:b/>
                <w:sz w:val="20"/>
                <w:szCs w:val="20"/>
              </w:rPr>
              <w:t>[</w:t>
            </w:r>
            <w:r w:rsidR="00B1725B" w:rsidRPr="002A60C9">
              <w:rPr>
                <w:bCs/>
                <w:sz w:val="20"/>
                <w:szCs w:val="20"/>
              </w:rPr>
              <w:t>Cette norme n'est pertinente que pour les projets impliquant des intermédiaires financiers (IF).]</w:t>
            </w:r>
          </w:p>
        </w:tc>
      </w:tr>
      <w:tr w:rsidR="00FB1042" w:rsidRPr="003A184B" w14:paraId="4DA2D9E7" w14:textId="77777777" w:rsidTr="003354F2">
        <w:trPr>
          <w:cantSplit/>
          <w:trHeight w:val="20"/>
        </w:trPr>
        <w:tc>
          <w:tcPr>
            <w:tcW w:w="715" w:type="dxa"/>
          </w:tcPr>
          <w:p w14:paraId="4DA2D9E2" w14:textId="77777777" w:rsidR="00FB1042" w:rsidRPr="003A184B" w:rsidRDefault="00FB1042" w:rsidP="003354F2">
            <w:pPr>
              <w:pStyle w:val="Normal-PRsubhead"/>
            </w:pPr>
            <w:r w:rsidRPr="003A184B">
              <w:t>9.1</w:t>
            </w:r>
          </w:p>
        </w:tc>
        <w:tc>
          <w:tcPr>
            <w:tcW w:w="6120" w:type="dxa"/>
          </w:tcPr>
          <w:p w14:paraId="4DA2D9E3" w14:textId="44587A1A" w:rsidR="00FB1042" w:rsidRPr="003A184B" w:rsidRDefault="00B1725B" w:rsidP="003354F2">
            <w:pPr>
              <w:pStyle w:val="Normal-PRsubhead"/>
              <w:rPr>
                <w:b/>
              </w:rPr>
            </w:pPr>
            <w:r w:rsidRPr="00B1725B">
              <w:rPr>
                <w:b/>
              </w:rPr>
              <w:t xml:space="preserve">SYSTÈME DE GESTION ENVIRONNEMENTALE ET SOCIALE </w:t>
            </w:r>
            <w:r>
              <w:rPr>
                <w:b/>
              </w:rPr>
              <w:t>(</w:t>
            </w:r>
            <w:r w:rsidR="00FB1042" w:rsidRPr="003A184B">
              <w:rPr>
                <w:b/>
              </w:rPr>
              <w:t>SGES</w:t>
            </w:r>
            <w:r>
              <w:rPr>
                <w:b/>
              </w:rPr>
              <w:t>)</w:t>
            </w:r>
          </w:p>
          <w:p w14:paraId="4DA2D9E4" w14:textId="77777777" w:rsidR="00FB1042" w:rsidRPr="003A184B" w:rsidRDefault="00FB1042" w:rsidP="003354F2">
            <w:r w:rsidRPr="003A184B">
              <w:rPr>
                <w:rFonts w:cstheme="minorHAnsi"/>
                <w:sz w:val="20"/>
                <w:szCs w:val="20"/>
              </w:rPr>
              <w:t>Non applicable</w:t>
            </w:r>
          </w:p>
        </w:tc>
        <w:tc>
          <w:tcPr>
            <w:tcW w:w="3780" w:type="dxa"/>
          </w:tcPr>
          <w:p w14:paraId="4DA2D9E5" w14:textId="77777777" w:rsidR="00FB1042" w:rsidRPr="003A184B" w:rsidRDefault="00FB1042" w:rsidP="003354F2">
            <w:pPr>
              <w:keepLines/>
              <w:widowControl w:val="0"/>
              <w:rPr>
                <w:rFonts w:cstheme="minorHAnsi"/>
                <w:sz w:val="20"/>
                <w:szCs w:val="20"/>
              </w:rPr>
            </w:pPr>
            <w:r w:rsidRPr="003A184B">
              <w:rPr>
                <w:sz w:val="20"/>
                <w:szCs w:val="20"/>
              </w:rPr>
              <w:t>N/A</w:t>
            </w:r>
          </w:p>
        </w:tc>
        <w:tc>
          <w:tcPr>
            <w:tcW w:w="3690" w:type="dxa"/>
          </w:tcPr>
          <w:p w14:paraId="4DA2D9E6" w14:textId="77777777" w:rsidR="00FB1042" w:rsidRPr="003A184B" w:rsidRDefault="00FB1042" w:rsidP="003354F2">
            <w:pPr>
              <w:keepLines/>
              <w:widowControl w:val="0"/>
              <w:rPr>
                <w:rFonts w:cstheme="minorHAnsi"/>
                <w:sz w:val="20"/>
                <w:szCs w:val="20"/>
              </w:rPr>
            </w:pPr>
          </w:p>
        </w:tc>
      </w:tr>
      <w:tr w:rsidR="00B1725B" w:rsidRPr="003A184B" w14:paraId="60A91566" w14:textId="77777777" w:rsidTr="003354F2">
        <w:trPr>
          <w:cantSplit/>
          <w:trHeight w:val="20"/>
        </w:trPr>
        <w:tc>
          <w:tcPr>
            <w:tcW w:w="715" w:type="dxa"/>
          </w:tcPr>
          <w:p w14:paraId="00C6A92F" w14:textId="328ABF35" w:rsidR="00B1725B" w:rsidRPr="003A184B" w:rsidRDefault="00B1725B" w:rsidP="00B1725B">
            <w:pPr>
              <w:pStyle w:val="Normal-PRsubhead"/>
            </w:pPr>
            <w:r>
              <w:t>9.2</w:t>
            </w:r>
          </w:p>
        </w:tc>
        <w:tc>
          <w:tcPr>
            <w:tcW w:w="6120" w:type="dxa"/>
          </w:tcPr>
          <w:p w14:paraId="428F17D1" w14:textId="77777777" w:rsidR="00B1725B" w:rsidRDefault="00B1725B" w:rsidP="00B1725B">
            <w:pPr>
              <w:pStyle w:val="Normal-PRsubhead"/>
              <w:rPr>
                <w:b/>
              </w:rPr>
            </w:pPr>
            <w:r>
              <w:rPr>
                <w:b/>
              </w:rPr>
              <w:t>EXCLUSIONS</w:t>
            </w:r>
          </w:p>
          <w:p w14:paraId="60551F0D" w14:textId="191111B0" w:rsidR="00B1725B" w:rsidRPr="002A60C9" w:rsidRDefault="00B1725B" w:rsidP="002A60C9">
            <w:r w:rsidRPr="003A184B">
              <w:rPr>
                <w:rFonts w:cstheme="minorHAnsi"/>
                <w:sz w:val="20"/>
                <w:szCs w:val="20"/>
              </w:rPr>
              <w:t>Non applicable</w:t>
            </w:r>
          </w:p>
        </w:tc>
        <w:tc>
          <w:tcPr>
            <w:tcW w:w="3780" w:type="dxa"/>
          </w:tcPr>
          <w:p w14:paraId="3C9531A8" w14:textId="7017F3B9" w:rsidR="00B1725B" w:rsidRPr="003A184B" w:rsidRDefault="00B1725B" w:rsidP="00B1725B">
            <w:pPr>
              <w:keepLines/>
              <w:widowControl w:val="0"/>
              <w:rPr>
                <w:sz w:val="20"/>
                <w:szCs w:val="20"/>
              </w:rPr>
            </w:pPr>
            <w:r w:rsidRPr="003A184B">
              <w:rPr>
                <w:sz w:val="20"/>
                <w:szCs w:val="20"/>
              </w:rPr>
              <w:t>N/A</w:t>
            </w:r>
          </w:p>
        </w:tc>
        <w:tc>
          <w:tcPr>
            <w:tcW w:w="3690" w:type="dxa"/>
          </w:tcPr>
          <w:p w14:paraId="429EC99B" w14:textId="77777777" w:rsidR="00B1725B" w:rsidRPr="003A184B" w:rsidRDefault="00B1725B" w:rsidP="00B1725B">
            <w:pPr>
              <w:keepLines/>
              <w:widowControl w:val="0"/>
              <w:rPr>
                <w:rFonts w:cstheme="minorHAnsi"/>
                <w:sz w:val="20"/>
                <w:szCs w:val="20"/>
              </w:rPr>
            </w:pPr>
          </w:p>
        </w:tc>
      </w:tr>
      <w:tr w:rsidR="00B1725B" w:rsidRPr="003A184B" w14:paraId="4DA2D9ED" w14:textId="77777777" w:rsidTr="003354F2">
        <w:trPr>
          <w:cantSplit/>
          <w:trHeight w:val="20"/>
        </w:trPr>
        <w:tc>
          <w:tcPr>
            <w:tcW w:w="715" w:type="dxa"/>
          </w:tcPr>
          <w:p w14:paraId="4DA2D9E8" w14:textId="77777777" w:rsidR="00B1725B" w:rsidRPr="003A184B" w:rsidRDefault="00B1725B" w:rsidP="00B1725B">
            <w:pPr>
              <w:pStyle w:val="Normal-PRsubhead"/>
            </w:pPr>
            <w:r w:rsidRPr="003A184B">
              <w:t>9.2</w:t>
            </w:r>
          </w:p>
        </w:tc>
        <w:tc>
          <w:tcPr>
            <w:tcW w:w="6120" w:type="dxa"/>
          </w:tcPr>
          <w:p w14:paraId="4DA2D9E9" w14:textId="77777777" w:rsidR="00B1725B" w:rsidRPr="003A184B" w:rsidRDefault="00B1725B" w:rsidP="00B1725B">
            <w:pPr>
              <w:pStyle w:val="Normal-PRsubhead"/>
              <w:rPr>
                <w:b/>
              </w:rPr>
            </w:pPr>
            <w:r w:rsidRPr="003A184B">
              <w:rPr>
                <w:b/>
              </w:rPr>
              <w:t>CAPACITÉS INSTITUTIONNELLES DES IF</w:t>
            </w:r>
          </w:p>
          <w:p w14:paraId="4DA2D9EA" w14:textId="77777777" w:rsidR="00B1725B" w:rsidRPr="003A184B" w:rsidRDefault="00B1725B" w:rsidP="00B1725B">
            <w:pPr>
              <w:pStyle w:val="Normal-PRsubhead"/>
            </w:pPr>
            <w:r w:rsidRPr="003A184B">
              <w:t>Non applicable</w:t>
            </w:r>
          </w:p>
        </w:tc>
        <w:tc>
          <w:tcPr>
            <w:tcW w:w="3780" w:type="dxa"/>
          </w:tcPr>
          <w:p w14:paraId="4DA2D9EB" w14:textId="77777777" w:rsidR="00B1725B" w:rsidRPr="003A184B" w:rsidRDefault="00B1725B" w:rsidP="00B1725B">
            <w:pPr>
              <w:keepLines/>
              <w:widowControl w:val="0"/>
              <w:rPr>
                <w:rFonts w:cstheme="minorHAnsi"/>
                <w:sz w:val="20"/>
                <w:szCs w:val="20"/>
              </w:rPr>
            </w:pPr>
            <w:r w:rsidRPr="003A184B">
              <w:rPr>
                <w:sz w:val="20"/>
                <w:szCs w:val="20"/>
              </w:rPr>
              <w:t>N/A</w:t>
            </w:r>
          </w:p>
        </w:tc>
        <w:tc>
          <w:tcPr>
            <w:tcW w:w="3690" w:type="dxa"/>
          </w:tcPr>
          <w:p w14:paraId="4DA2D9EC" w14:textId="77777777" w:rsidR="00B1725B" w:rsidRPr="003A184B" w:rsidRDefault="00B1725B" w:rsidP="00B1725B">
            <w:pPr>
              <w:keepLines/>
              <w:widowControl w:val="0"/>
              <w:rPr>
                <w:rFonts w:cstheme="minorHAnsi"/>
                <w:sz w:val="20"/>
                <w:szCs w:val="20"/>
              </w:rPr>
            </w:pPr>
          </w:p>
        </w:tc>
      </w:tr>
      <w:tr w:rsidR="00B1725B" w:rsidRPr="003A184B" w14:paraId="4DA2D9F3" w14:textId="77777777" w:rsidTr="003354F2">
        <w:trPr>
          <w:cantSplit/>
          <w:trHeight w:val="20"/>
        </w:trPr>
        <w:tc>
          <w:tcPr>
            <w:tcW w:w="715" w:type="dxa"/>
          </w:tcPr>
          <w:p w14:paraId="4DA2D9EE" w14:textId="77777777" w:rsidR="00B1725B" w:rsidRPr="003A184B" w:rsidRDefault="00B1725B" w:rsidP="00B1725B">
            <w:pPr>
              <w:pStyle w:val="Normal-PRsubhead"/>
            </w:pPr>
            <w:r w:rsidRPr="003A184B">
              <w:t>9.3</w:t>
            </w:r>
          </w:p>
        </w:tc>
        <w:tc>
          <w:tcPr>
            <w:tcW w:w="6120" w:type="dxa"/>
          </w:tcPr>
          <w:p w14:paraId="4DA2D9EF" w14:textId="77777777" w:rsidR="00B1725B" w:rsidRPr="003A184B" w:rsidRDefault="00B1725B" w:rsidP="00B1725B">
            <w:pPr>
              <w:pStyle w:val="Normal-PRsubhead"/>
              <w:rPr>
                <w:b/>
              </w:rPr>
            </w:pPr>
            <w:r w:rsidRPr="003A184B">
              <w:rPr>
                <w:b/>
              </w:rPr>
              <w:t>REPRÉSENTANT DE LA HAUTE DIRECTION</w:t>
            </w:r>
          </w:p>
          <w:p w14:paraId="4DA2D9F0" w14:textId="77777777" w:rsidR="00B1725B" w:rsidRPr="003A184B" w:rsidRDefault="00B1725B" w:rsidP="00B1725B">
            <w:pPr>
              <w:pStyle w:val="Normal-PRsubhead"/>
            </w:pPr>
            <w:r w:rsidRPr="003A184B">
              <w:t>Non applicable</w:t>
            </w:r>
          </w:p>
        </w:tc>
        <w:tc>
          <w:tcPr>
            <w:tcW w:w="3780" w:type="dxa"/>
          </w:tcPr>
          <w:p w14:paraId="4DA2D9F1" w14:textId="77777777" w:rsidR="00B1725B" w:rsidRPr="003A184B" w:rsidRDefault="00B1725B" w:rsidP="00B1725B">
            <w:pPr>
              <w:keepLines/>
              <w:widowControl w:val="0"/>
              <w:rPr>
                <w:rFonts w:cstheme="minorHAnsi"/>
                <w:sz w:val="20"/>
                <w:szCs w:val="20"/>
              </w:rPr>
            </w:pPr>
            <w:r w:rsidRPr="003A184B">
              <w:rPr>
                <w:sz w:val="20"/>
                <w:szCs w:val="20"/>
              </w:rPr>
              <w:t xml:space="preserve">N/A  </w:t>
            </w:r>
          </w:p>
        </w:tc>
        <w:tc>
          <w:tcPr>
            <w:tcW w:w="3690" w:type="dxa"/>
          </w:tcPr>
          <w:p w14:paraId="4DA2D9F2" w14:textId="77777777" w:rsidR="00B1725B" w:rsidRPr="003A184B" w:rsidRDefault="00B1725B" w:rsidP="00B1725B">
            <w:pPr>
              <w:keepLines/>
              <w:widowControl w:val="0"/>
              <w:rPr>
                <w:rFonts w:cstheme="minorHAnsi"/>
                <w:sz w:val="20"/>
                <w:szCs w:val="20"/>
              </w:rPr>
            </w:pPr>
          </w:p>
        </w:tc>
      </w:tr>
      <w:tr w:rsidR="00B1725B" w:rsidRPr="003A184B" w14:paraId="4DA2D9F5" w14:textId="77777777" w:rsidTr="00165946">
        <w:trPr>
          <w:cantSplit/>
          <w:trHeight w:val="339"/>
        </w:trPr>
        <w:tc>
          <w:tcPr>
            <w:tcW w:w="14305" w:type="dxa"/>
            <w:gridSpan w:val="4"/>
            <w:shd w:val="clear" w:color="auto" w:fill="F4B083" w:themeFill="accent2" w:themeFillTint="99"/>
          </w:tcPr>
          <w:p w14:paraId="4DA2D9F4" w14:textId="77777777" w:rsidR="00B1725B" w:rsidRPr="003A184B" w:rsidRDefault="00B1725B" w:rsidP="00B1725B">
            <w:pPr>
              <w:keepLines/>
              <w:widowControl w:val="0"/>
              <w:rPr>
                <w:rFonts w:cstheme="minorHAnsi"/>
                <w:sz w:val="20"/>
                <w:szCs w:val="20"/>
              </w:rPr>
            </w:pPr>
            <w:r w:rsidRPr="003A184B">
              <w:rPr>
                <w:b/>
                <w:sz w:val="20"/>
                <w:szCs w:val="20"/>
              </w:rPr>
              <w:t>NES n</w:t>
            </w:r>
            <w:r w:rsidRPr="003A184B">
              <w:rPr>
                <w:b/>
                <w:sz w:val="20"/>
                <w:szCs w:val="20"/>
                <w:vertAlign w:val="superscript"/>
              </w:rPr>
              <w:t>o</w:t>
            </w:r>
            <w:r w:rsidRPr="003A184B">
              <w:rPr>
                <w:b/>
                <w:sz w:val="20"/>
                <w:szCs w:val="20"/>
              </w:rPr>
              <w:t> 10 : MOBILISATION DES PARTIES PRENANTES ET INFORMATION</w:t>
            </w:r>
          </w:p>
        </w:tc>
      </w:tr>
      <w:tr w:rsidR="00B1725B" w:rsidRPr="003A184B" w14:paraId="4DA2D9FB" w14:textId="77777777" w:rsidTr="003354F2">
        <w:trPr>
          <w:cantSplit/>
          <w:trHeight w:val="20"/>
        </w:trPr>
        <w:tc>
          <w:tcPr>
            <w:tcW w:w="715" w:type="dxa"/>
          </w:tcPr>
          <w:p w14:paraId="4DA2D9F6" w14:textId="77777777" w:rsidR="00B1725B" w:rsidRPr="003A184B" w:rsidRDefault="00B1725B" w:rsidP="00B1725B">
            <w:pPr>
              <w:pStyle w:val="Normal-PRsubhead"/>
              <w:rPr>
                <w:b/>
              </w:rPr>
            </w:pPr>
            <w:r w:rsidRPr="003A184B">
              <w:t>10.1</w:t>
            </w:r>
          </w:p>
        </w:tc>
        <w:tc>
          <w:tcPr>
            <w:tcW w:w="6120" w:type="dxa"/>
          </w:tcPr>
          <w:p w14:paraId="58A370FA" w14:textId="2308F00E" w:rsidR="00C80C86" w:rsidRPr="003A184B" w:rsidRDefault="00B1725B" w:rsidP="00B1725B">
            <w:pPr>
              <w:keepLines/>
              <w:widowControl w:val="0"/>
              <w:rPr>
                <w:b/>
                <w:color w:val="5B9BD5" w:themeColor="accent5"/>
                <w:sz w:val="20"/>
                <w:szCs w:val="20"/>
              </w:rPr>
            </w:pPr>
            <w:r w:rsidRPr="00B1725B">
              <w:rPr>
                <w:b/>
                <w:color w:val="5B9BD5" w:themeColor="accent5"/>
                <w:sz w:val="20"/>
                <w:szCs w:val="20"/>
              </w:rPr>
              <w:t xml:space="preserve">MISE EN ŒUVRE </w:t>
            </w:r>
            <w:r w:rsidRPr="003A184B">
              <w:rPr>
                <w:b/>
                <w:color w:val="5B9BD5" w:themeColor="accent5"/>
                <w:sz w:val="20"/>
                <w:szCs w:val="20"/>
              </w:rPr>
              <w:t>DU PLAN DE MOBILISATION DES PARTIES PRENANTES</w:t>
            </w:r>
          </w:p>
          <w:p w14:paraId="4DA2D9F8" w14:textId="5FDE89C9" w:rsidR="00B1725B" w:rsidRPr="003A184B" w:rsidRDefault="00C80C86" w:rsidP="006770E4">
            <w:pPr>
              <w:autoSpaceDE w:val="0"/>
              <w:autoSpaceDN w:val="0"/>
              <w:adjustRightInd w:val="0"/>
            </w:pPr>
            <w:r w:rsidRPr="003A184B">
              <w:rPr>
                <w:rFonts w:ascii="CIDFont+F1" w:hAnsi="CIDFont+F1" w:cs="CIDFont+F1"/>
                <w:sz w:val="20"/>
                <w:szCs w:val="20"/>
              </w:rPr>
              <w:t xml:space="preserve">Veiller à la mise en œuvre du </w:t>
            </w:r>
            <w:r w:rsidR="00B1725B" w:rsidRPr="003A184B">
              <w:rPr>
                <w:rFonts w:ascii="CIDFont+F1" w:hAnsi="CIDFont+F1" w:cs="CIDFont+F1"/>
                <w:sz w:val="20"/>
                <w:szCs w:val="20"/>
              </w:rPr>
              <w:t xml:space="preserve">Plan de Mobilisation des Parties Prenantes (PMPP) </w:t>
            </w:r>
            <w:r w:rsidR="00B1725B" w:rsidRPr="002A60C9">
              <w:rPr>
                <w:rFonts w:ascii="CIDFont+F1" w:hAnsi="CIDFont+F1" w:cs="CIDFont+F1"/>
                <w:sz w:val="20"/>
                <w:szCs w:val="20"/>
              </w:rPr>
              <w:t xml:space="preserve">pour le projet, </w:t>
            </w:r>
            <w:r>
              <w:rPr>
                <w:rFonts w:ascii="CIDFont+F1" w:hAnsi="CIDFont+F1" w:cs="CIDFont+F1"/>
                <w:sz w:val="20"/>
                <w:szCs w:val="20"/>
              </w:rPr>
              <w:t xml:space="preserve">qui est </w:t>
            </w:r>
            <w:r w:rsidR="00B1725B" w:rsidRPr="002A60C9">
              <w:rPr>
                <w:rFonts w:ascii="CIDFont+F1" w:hAnsi="CIDFont+F1" w:cs="CIDFont+F1"/>
                <w:sz w:val="20"/>
                <w:szCs w:val="20"/>
              </w:rPr>
              <w:t>conform</w:t>
            </w:r>
            <w:r>
              <w:rPr>
                <w:rFonts w:ascii="CIDFont+F1" w:hAnsi="CIDFont+F1" w:cs="CIDFont+F1"/>
                <w:sz w:val="20"/>
                <w:szCs w:val="20"/>
              </w:rPr>
              <w:t>e</w:t>
            </w:r>
            <w:r w:rsidR="00B1725B" w:rsidRPr="002A60C9">
              <w:rPr>
                <w:rFonts w:ascii="CIDFont+F1" w:hAnsi="CIDFont+F1" w:cs="CIDFont+F1"/>
                <w:sz w:val="20"/>
                <w:szCs w:val="20"/>
              </w:rPr>
              <w:t xml:space="preserve"> à la NES n°10</w:t>
            </w:r>
            <w:r>
              <w:rPr>
                <w:rFonts w:ascii="CIDFont+F1" w:hAnsi="CIDFont+F1" w:cs="CIDFont+F1"/>
                <w:sz w:val="20"/>
                <w:szCs w:val="20"/>
              </w:rPr>
              <w:t xml:space="preserve"> et</w:t>
            </w:r>
            <w:r w:rsidR="00B1725B" w:rsidRPr="002A60C9">
              <w:rPr>
                <w:rFonts w:ascii="CIDFont+F1" w:hAnsi="CIDFont+F1" w:cs="CIDFont+F1"/>
                <w:sz w:val="20"/>
                <w:szCs w:val="20"/>
              </w:rPr>
              <w:t xml:space="preserve"> qui inclu</w:t>
            </w:r>
            <w:r>
              <w:rPr>
                <w:rFonts w:ascii="CIDFont+F1" w:hAnsi="CIDFont+F1" w:cs="CIDFont+F1"/>
                <w:sz w:val="20"/>
                <w:szCs w:val="20"/>
              </w:rPr>
              <w:t>t</w:t>
            </w:r>
            <w:r w:rsidR="00B1725B" w:rsidRPr="002A60C9">
              <w:rPr>
                <w:rFonts w:ascii="CIDFont+F1" w:hAnsi="CIDFont+F1" w:cs="CIDFont+F1"/>
                <w:sz w:val="20"/>
                <w:szCs w:val="20"/>
              </w:rPr>
              <w:t xml:space="preserve"> des mesures pour, entre autres, fournir aux parties prenantes des informations opportunes, pertinentes, compréhensibles et accessibles, et les consulter d'une manière culturellement appropriée, qui est exempt de manipulation, d'ingérence, de coercition, de discrimination et d'intimidation.</w:t>
            </w:r>
          </w:p>
        </w:tc>
        <w:tc>
          <w:tcPr>
            <w:tcW w:w="3780" w:type="dxa"/>
          </w:tcPr>
          <w:p w14:paraId="0C870C9D" w14:textId="1D29175A" w:rsidR="00B1725B" w:rsidRPr="003A184B" w:rsidRDefault="00B1725B" w:rsidP="00B1725B">
            <w:pPr>
              <w:autoSpaceDE w:val="0"/>
              <w:autoSpaceDN w:val="0"/>
              <w:adjustRightInd w:val="0"/>
              <w:rPr>
                <w:rFonts w:ascii="CIDFont+F1" w:hAnsi="CIDFont+F1" w:cs="CIDFont+F1"/>
                <w:sz w:val="20"/>
                <w:szCs w:val="20"/>
              </w:rPr>
            </w:pPr>
          </w:p>
          <w:p w14:paraId="4DA2D9F9" w14:textId="48984603" w:rsidR="00B1725B" w:rsidRPr="003A184B" w:rsidRDefault="006770E4" w:rsidP="00B1725B">
            <w:pPr>
              <w:autoSpaceDE w:val="0"/>
              <w:autoSpaceDN w:val="0"/>
              <w:adjustRightInd w:val="0"/>
              <w:jc w:val="both"/>
              <w:rPr>
                <w:rFonts w:ascii="CIDFont+F1" w:hAnsi="CIDFont+F1" w:cs="CIDFont+F1"/>
                <w:sz w:val="20"/>
                <w:szCs w:val="20"/>
              </w:rPr>
            </w:pPr>
            <w:r>
              <w:rPr>
                <w:rFonts w:ascii="CIDFont+F1" w:hAnsi="CIDFont+F1" w:cs="CIDFont+F1"/>
                <w:sz w:val="20"/>
                <w:szCs w:val="20"/>
              </w:rPr>
              <w:t>M</w:t>
            </w:r>
            <w:r w:rsidR="00B1725B" w:rsidRPr="00B1725B">
              <w:rPr>
                <w:rFonts w:ascii="CIDFont+F1" w:hAnsi="CIDFont+F1" w:cs="CIDFont+F1"/>
                <w:sz w:val="20"/>
                <w:szCs w:val="20"/>
              </w:rPr>
              <w:t>ettre en œuvre le SEP tout au long de la mise en œuvre du projet.</w:t>
            </w:r>
          </w:p>
        </w:tc>
        <w:tc>
          <w:tcPr>
            <w:tcW w:w="3690" w:type="dxa"/>
          </w:tcPr>
          <w:p w14:paraId="4EC44669" w14:textId="77777777" w:rsidR="00B1725B" w:rsidRPr="003A184B" w:rsidRDefault="00B1725B" w:rsidP="00B1725B">
            <w:pPr>
              <w:keepLines/>
              <w:widowControl w:val="0"/>
              <w:rPr>
                <w:rFonts w:cstheme="minorHAnsi"/>
                <w:sz w:val="20"/>
                <w:szCs w:val="20"/>
              </w:rPr>
            </w:pPr>
          </w:p>
          <w:p w14:paraId="4DA2D9FA" w14:textId="39063BCD" w:rsidR="00B1725B" w:rsidRPr="003A184B" w:rsidRDefault="00B1725B" w:rsidP="00B1725B">
            <w:pPr>
              <w:keepLines/>
              <w:widowControl w:val="0"/>
              <w:rPr>
                <w:rFonts w:cstheme="minorHAnsi"/>
                <w:sz w:val="20"/>
                <w:szCs w:val="20"/>
              </w:rPr>
            </w:pPr>
            <w:r w:rsidRPr="003A184B">
              <w:rPr>
                <w:rFonts w:cstheme="minorHAnsi"/>
                <w:sz w:val="20"/>
                <w:szCs w:val="20"/>
              </w:rPr>
              <w:t>UGPC</w:t>
            </w:r>
            <w:r>
              <w:rPr>
                <w:rFonts w:cstheme="minorHAnsi"/>
                <w:sz w:val="20"/>
                <w:szCs w:val="20"/>
              </w:rPr>
              <w:t>/</w:t>
            </w:r>
            <w:proofErr w:type="spellStart"/>
            <w:r>
              <w:rPr>
                <w:rFonts w:cstheme="minorHAnsi"/>
                <w:sz w:val="20"/>
                <w:szCs w:val="20"/>
              </w:rPr>
              <w:t>UGPRs</w:t>
            </w:r>
            <w:proofErr w:type="spellEnd"/>
          </w:p>
        </w:tc>
      </w:tr>
      <w:tr w:rsidR="00B1725B" w:rsidRPr="003A184B" w14:paraId="739183D0" w14:textId="77777777" w:rsidTr="00F50271">
        <w:trPr>
          <w:cantSplit/>
          <w:trHeight w:val="20"/>
        </w:trPr>
        <w:tc>
          <w:tcPr>
            <w:tcW w:w="715" w:type="dxa"/>
          </w:tcPr>
          <w:p w14:paraId="39279443" w14:textId="30F7E317" w:rsidR="00B1725B" w:rsidRPr="003A184B" w:rsidRDefault="00B1725B" w:rsidP="00B1725B">
            <w:pPr>
              <w:pStyle w:val="Normal-PRsubhead"/>
            </w:pPr>
            <w:r w:rsidRPr="003A184B">
              <w:lastRenderedPageBreak/>
              <w:t>10.</w:t>
            </w:r>
            <w:r>
              <w:t>2</w:t>
            </w:r>
          </w:p>
        </w:tc>
        <w:tc>
          <w:tcPr>
            <w:tcW w:w="6120" w:type="dxa"/>
          </w:tcPr>
          <w:p w14:paraId="5F0631EB" w14:textId="7849DA65" w:rsidR="00B1725B" w:rsidRPr="003A184B" w:rsidRDefault="00B1725B" w:rsidP="00165946">
            <w:pPr>
              <w:keepLines/>
              <w:widowControl w:val="0"/>
            </w:pPr>
            <w:r w:rsidRPr="003A184B">
              <w:rPr>
                <w:b/>
                <w:color w:val="5B9BD5" w:themeColor="accent5"/>
                <w:sz w:val="20"/>
                <w:szCs w:val="20"/>
              </w:rPr>
              <w:t xml:space="preserve">MÉCANISME DE GESTION DES PLAINTES AU NIVEAU DU PROJET </w:t>
            </w:r>
          </w:p>
          <w:p w14:paraId="4BA0187C" w14:textId="444C52A5" w:rsidR="00B1725B" w:rsidRPr="002A60C9" w:rsidRDefault="00B1725B" w:rsidP="00165946">
            <w:pPr>
              <w:autoSpaceDE w:val="0"/>
              <w:autoSpaceDN w:val="0"/>
              <w:adjustRightInd w:val="0"/>
              <w:jc w:val="both"/>
              <w:rPr>
                <w:rFonts w:ascii="CIDFont+F1" w:hAnsi="CIDFont+F1" w:cs="CIDFont+F1"/>
                <w:sz w:val="20"/>
                <w:szCs w:val="20"/>
              </w:rPr>
            </w:pPr>
            <w:r w:rsidRPr="002A60C9">
              <w:rPr>
                <w:rFonts w:ascii="CIDFont+F1" w:hAnsi="CIDFont+F1" w:cs="CIDFont+F1"/>
                <w:sz w:val="20"/>
                <w:szCs w:val="20"/>
              </w:rPr>
              <w:t>Établir, faire connaître, maintenir et exploiter un mécanisme de réclamation accessible, pour recevoir et faciliter la résolution des préoccupations et des réclamations relatives au projet, rapidement et efficacement, d'une manière transparente, culturellement appropriée et facilement accessible à toutes les parties affectées par le projet, sans frais et sans rétribution, y compris les préoccupations et les griefs déposés de manière anonyme, d'une manière conforme à la NES10.</w:t>
            </w:r>
          </w:p>
          <w:p w14:paraId="3E6F9047" w14:textId="2126FE03" w:rsidR="00B1725B" w:rsidRPr="003A184B" w:rsidRDefault="00B1725B" w:rsidP="00B1725B">
            <w:pPr>
              <w:autoSpaceDE w:val="0"/>
              <w:autoSpaceDN w:val="0"/>
              <w:adjustRightInd w:val="0"/>
              <w:jc w:val="both"/>
            </w:pPr>
            <w:r w:rsidRPr="002A60C9">
              <w:rPr>
                <w:rFonts w:ascii="CIDFont+F1" w:hAnsi="CIDFont+F1" w:cs="CIDFont+F1"/>
                <w:sz w:val="20"/>
                <w:szCs w:val="20"/>
              </w:rPr>
              <w:t xml:space="preserve">Le mécanisme de </w:t>
            </w:r>
            <w:r>
              <w:rPr>
                <w:rFonts w:ascii="CIDFont+F1" w:hAnsi="CIDFont+F1" w:cs="CIDFont+F1"/>
                <w:sz w:val="20"/>
                <w:szCs w:val="20"/>
              </w:rPr>
              <w:t>gestion des plaintes</w:t>
            </w:r>
            <w:r w:rsidRPr="002A60C9">
              <w:rPr>
                <w:rFonts w:ascii="CIDFont+F1" w:hAnsi="CIDFont+F1" w:cs="CIDFont+F1"/>
                <w:sz w:val="20"/>
                <w:szCs w:val="20"/>
              </w:rPr>
              <w:t xml:space="preserve"> doit être équipé pour recevoir, enregistrer et faciliter la résolution des plaintes SEA/SH, notamment en orientant les survivants vers les prestataires de services compétents en matière de violence sexiste, le tout de manière sûre, confidentielle et centrée sur les survivants.</w:t>
            </w:r>
          </w:p>
        </w:tc>
        <w:tc>
          <w:tcPr>
            <w:tcW w:w="3780" w:type="dxa"/>
          </w:tcPr>
          <w:p w14:paraId="55046592" w14:textId="77777777" w:rsidR="00B1725B" w:rsidRPr="003A184B" w:rsidRDefault="00B1725B" w:rsidP="00B1725B">
            <w:pPr>
              <w:keepLines/>
              <w:widowControl w:val="0"/>
              <w:rPr>
                <w:rFonts w:cstheme="minorHAnsi"/>
                <w:sz w:val="20"/>
                <w:szCs w:val="20"/>
              </w:rPr>
            </w:pPr>
          </w:p>
          <w:p w14:paraId="79B139CB" w14:textId="77777777" w:rsidR="00B1725B" w:rsidRPr="003A184B" w:rsidRDefault="00B1725B" w:rsidP="00B1725B">
            <w:pPr>
              <w:keepLines/>
              <w:widowControl w:val="0"/>
              <w:rPr>
                <w:rFonts w:cstheme="minorHAnsi"/>
                <w:sz w:val="20"/>
                <w:szCs w:val="20"/>
              </w:rPr>
            </w:pPr>
          </w:p>
          <w:p w14:paraId="5536860E" w14:textId="77777777" w:rsidR="00B1725B" w:rsidRPr="003A184B" w:rsidRDefault="00B1725B" w:rsidP="00B1725B">
            <w:pPr>
              <w:keepLines/>
              <w:widowControl w:val="0"/>
              <w:rPr>
                <w:rFonts w:cstheme="minorHAnsi"/>
                <w:sz w:val="20"/>
                <w:szCs w:val="20"/>
              </w:rPr>
            </w:pPr>
          </w:p>
          <w:p w14:paraId="58FEC7A3" w14:textId="24DD7430" w:rsidR="00B1725B" w:rsidRPr="003A184B" w:rsidRDefault="00B1725B" w:rsidP="00B1725B">
            <w:pPr>
              <w:autoSpaceDE w:val="0"/>
              <w:autoSpaceDN w:val="0"/>
              <w:adjustRightInd w:val="0"/>
              <w:jc w:val="both"/>
              <w:rPr>
                <w:rFonts w:cstheme="minorHAnsi"/>
                <w:sz w:val="20"/>
                <w:szCs w:val="20"/>
              </w:rPr>
            </w:pPr>
            <w:r w:rsidRPr="003A184B">
              <w:rPr>
                <w:rFonts w:ascii="CIDFont+F6" w:hAnsi="CIDFont+F6" w:cs="CIDFont+F6"/>
                <w:sz w:val="20"/>
                <w:szCs w:val="20"/>
              </w:rPr>
              <w:t>Le MGP sera opérationnel 30 jours après la date d’entrée en vigueur.</w:t>
            </w:r>
          </w:p>
        </w:tc>
        <w:tc>
          <w:tcPr>
            <w:tcW w:w="3690" w:type="dxa"/>
          </w:tcPr>
          <w:p w14:paraId="5F9EEF6C" w14:textId="77777777" w:rsidR="00B1725B" w:rsidRPr="003A184B" w:rsidRDefault="00B1725B" w:rsidP="00B1725B">
            <w:pPr>
              <w:keepLines/>
              <w:widowControl w:val="0"/>
              <w:rPr>
                <w:rFonts w:cstheme="minorHAnsi"/>
                <w:sz w:val="20"/>
                <w:szCs w:val="20"/>
              </w:rPr>
            </w:pPr>
          </w:p>
          <w:p w14:paraId="00D52391" w14:textId="77777777" w:rsidR="00B1725B" w:rsidRPr="003A184B" w:rsidRDefault="00B1725B" w:rsidP="00B1725B">
            <w:pPr>
              <w:keepLines/>
              <w:widowControl w:val="0"/>
              <w:rPr>
                <w:rFonts w:cstheme="minorHAnsi"/>
                <w:sz w:val="20"/>
                <w:szCs w:val="20"/>
              </w:rPr>
            </w:pPr>
          </w:p>
          <w:p w14:paraId="333D4DA7" w14:textId="77777777" w:rsidR="00B1725B" w:rsidRPr="003A184B" w:rsidRDefault="00B1725B" w:rsidP="00B1725B">
            <w:pPr>
              <w:keepLines/>
              <w:widowControl w:val="0"/>
              <w:rPr>
                <w:rFonts w:cstheme="minorHAnsi"/>
                <w:sz w:val="20"/>
                <w:szCs w:val="20"/>
              </w:rPr>
            </w:pPr>
          </w:p>
          <w:p w14:paraId="413D9BDF" w14:textId="7949A962" w:rsidR="00B1725B" w:rsidRPr="003A184B" w:rsidRDefault="00B1725B" w:rsidP="00B1725B">
            <w:pPr>
              <w:keepLines/>
              <w:widowControl w:val="0"/>
              <w:rPr>
                <w:rFonts w:cstheme="minorHAnsi"/>
                <w:sz w:val="20"/>
                <w:szCs w:val="20"/>
              </w:rPr>
            </w:pPr>
            <w:r w:rsidRPr="003A184B">
              <w:rPr>
                <w:rFonts w:cstheme="minorHAnsi"/>
                <w:sz w:val="20"/>
                <w:szCs w:val="20"/>
              </w:rPr>
              <w:t>UGPC/</w:t>
            </w:r>
            <w:proofErr w:type="spellStart"/>
            <w:r w:rsidRPr="003A184B">
              <w:rPr>
                <w:rFonts w:cstheme="minorHAnsi"/>
                <w:sz w:val="20"/>
                <w:szCs w:val="20"/>
              </w:rPr>
              <w:t>UGPRs</w:t>
            </w:r>
            <w:proofErr w:type="spellEnd"/>
          </w:p>
        </w:tc>
      </w:tr>
    </w:tbl>
    <w:p w14:paraId="4DA2DA0B" w14:textId="24C88C5B" w:rsidR="00AA5AB9" w:rsidRPr="003A184B" w:rsidRDefault="00AA5AB9"/>
    <w:p w14:paraId="4DA2DA1D" w14:textId="77777777" w:rsidR="00AA5AB9" w:rsidRPr="003A184B" w:rsidRDefault="00AA5AB9">
      <w:r w:rsidRPr="003A184B">
        <w:br w:type="page"/>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3A184B" w14:paraId="4DA2DA1F" w14:textId="77777777" w:rsidTr="00FA0A88">
        <w:trPr>
          <w:cantSplit/>
          <w:trHeight w:val="377"/>
        </w:trPr>
        <w:tc>
          <w:tcPr>
            <w:tcW w:w="14305" w:type="dxa"/>
            <w:gridSpan w:val="4"/>
            <w:shd w:val="clear" w:color="auto" w:fill="F4B083" w:themeFill="accent2" w:themeFillTint="99"/>
          </w:tcPr>
          <w:p w14:paraId="4DA2DA1E" w14:textId="77777777" w:rsidR="00502173" w:rsidRPr="003A184B" w:rsidRDefault="00BD1DEA" w:rsidP="005D394E">
            <w:pPr>
              <w:keepLines/>
              <w:widowControl w:val="0"/>
              <w:rPr>
                <w:rFonts w:cstheme="minorHAnsi"/>
                <w:b/>
                <w:sz w:val="20"/>
                <w:szCs w:val="20"/>
              </w:rPr>
            </w:pPr>
            <w:r w:rsidRPr="003A184B">
              <w:lastRenderedPageBreak/>
              <w:br w:type="page"/>
            </w:r>
            <w:r w:rsidR="00502173" w:rsidRPr="003A184B">
              <w:rPr>
                <w:b/>
                <w:sz w:val="20"/>
                <w:szCs w:val="20"/>
              </w:rPr>
              <w:t>RENFORCEMENT DES CAPACITÉS (FORMATION)</w:t>
            </w:r>
          </w:p>
        </w:tc>
      </w:tr>
      <w:tr w:rsidR="00FB0556" w:rsidRPr="003A184B" w14:paraId="4DA2DA25" w14:textId="77777777" w:rsidTr="00594521">
        <w:trPr>
          <w:cantSplit/>
          <w:trHeight w:val="20"/>
        </w:trPr>
        <w:tc>
          <w:tcPr>
            <w:tcW w:w="715" w:type="dxa"/>
          </w:tcPr>
          <w:p w14:paraId="4DA2DA20" w14:textId="14630F8C" w:rsidR="00FB0556" w:rsidRPr="003A184B" w:rsidRDefault="00FB0556" w:rsidP="00A74224">
            <w:pPr>
              <w:pStyle w:val="Normal-PRsubhead"/>
            </w:pPr>
            <w:r w:rsidRPr="003A184B">
              <w:t>RC</w:t>
            </w:r>
            <w:r w:rsidR="00173FA8" w:rsidRPr="003A184B">
              <w:t>.</w:t>
            </w:r>
            <w:r w:rsidRPr="003A184B">
              <w:t>1</w:t>
            </w:r>
          </w:p>
        </w:tc>
        <w:tc>
          <w:tcPr>
            <w:tcW w:w="6120" w:type="dxa"/>
          </w:tcPr>
          <w:p w14:paraId="4000E8D6" w14:textId="77777777" w:rsidR="00B1725B" w:rsidRDefault="00B1725B" w:rsidP="00050D79">
            <w:pPr>
              <w:autoSpaceDE w:val="0"/>
              <w:autoSpaceDN w:val="0"/>
              <w:adjustRightInd w:val="0"/>
              <w:rPr>
                <w:rFonts w:ascii="CIDFont+F1" w:hAnsi="CIDFont+F1" w:cs="CIDFont+F1"/>
                <w:sz w:val="20"/>
                <w:szCs w:val="20"/>
              </w:rPr>
            </w:pPr>
            <w:r w:rsidRPr="00B1725B">
              <w:rPr>
                <w:rFonts w:ascii="CIDFont+F1" w:hAnsi="CIDFont+F1" w:cs="CIDFont+F1"/>
                <w:sz w:val="20"/>
                <w:szCs w:val="20"/>
              </w:rPr>
              <w:t>FORMATION À FOURNIR ET GROUPES CIBLES</w:t>
            </w:r>
          </w:p>
          <w:p w14:paraId="13DDA1DB" w14:textId="0609A5A8" w:rsidR="00050D79" w:rsidRPr="003A184B" w:rsidRDefault="00B1725B" w:rsidP="00050D79">
            <w:pPr>
              <w:autoSpaceDE w:val="0"/>
              <w:autoSpaceDN w:val="0"/>
              <w:adjustRightInd w:val="0"/>
              <w:rPr>
                <w:rFonts w:ascii="CIDFont+F1" w:hAnsi="CIDFont+F1" w:cs="CIDFont+F1"/>
                <w:sz w:val="20"/>
                <w:szCs w:val="20"/>
              </w:rPr>
            </w:pPr>
            <w:r w:rsidRPr="00B1725B">
              <w:rPr>
                <w:rFonts w:ascii="CIDFont+F1" w:hAnsi="CIDFont+F1" w:cs="CIDFont+F1"/>
                <w:sz w:val="20"/>
                <w:szCs w:val="20"/>
              </w:rPr>
              <w:t>Une formation peut être nécessaire pour le personnel de l'UGP</w:t>
            </w:r>
            <w:r>
              <w:rPr>
                <w:rFonts w:ascii="CIDFont+F1" w:hAnsi="CIDFont+F1" w:cs="CIDFont+F1"/>
                <w:sz w:val="20"/>
                <w:szCs w:val="20"/>
              </w:rPr>
              <w:t>C</w:t>
            </w:r>
            <w:r w:rsidRPr="00B1725B">
              <w:rPr>
                <w:rFonts w:ascii="CIDFont+F1" w:hAnsi="CIDFont+F1" w:cs="CIDFont+F1"/>
                <w:sz w:val="20"/>
                <w:szCs w:val="20"/>
              </w:rPr>
              <w:t xml:space="preserve"> et des </w:t>
            </w:r>
            <w:proofErr w:type="spellStart"/>
            <w:r>
              <w:rPr>
                <w:rFonts w:ascii="CIDFont+F1" w:hAnsi="CIDFont+F1" w:cs="CIDFont+F1"/>
                <w:sz w:val="20"/>
                <w:szCs w:val="20"/>
              </w:rPr>
              <w:t>UGPRs</w:t>
            </w:r>
            <w:proofErr w:type="spellEnd"/>
            <w:r w:rsidRPr="00B1725B">
              <w:rPr>
                <w:rFonts w:ascii="CIDFont+F1" w:hAnsi="CIDFont+F1" w:cs="CIDFont+F1"/>
                <w:sz w:val="20"/>
                <w:szCs w:val="20"/>
              </w:rPr>
              <w:t xml:space="preserve">, les parties prenantes, les communautés, les travailleurs du projet </w:t>
            </w:r>
            <w:proofErr w:type="gramStart"/>
            <w:r w:rsidRPr="00B1725B">
              <w:rPr>
                <w:rFonts w:ascii="CIDFont+F1" w:hAnsi="CIDFont+F1" w:cs="CIDFont+F1"/>
                <w:sz w:val="20"/>
                <w:szCs w:val="20"/>
              </w:rPr>
              <w:t>sur</w:t>
            </w:r>
            <w:r w:rsidR="00050D79" w:rsidRPr="003A184B">
              <w:rPr>
                <w:rFonts w:ascii="CIDFont+F1" w:hAnsi="CIDFont+F1" w:cs="CIDFont+F1"/>
                <w:sz w:val="20"/>
                <w:szCs w:val="20"/>
              </w:rPr>
              <w:t>:</w:t>
            </w:r>
            <w:proofErr w:type="gramEnd"/>
          </w:p>
          <w:p w14:paraId="0DC4BB6B" w14:textId="77777777" w:rsidR="00B1725B" w:rsidRDefault="00B1725B" w:rsidP="002A60C9">
            <w:pPr>
              <w:pStyle w:val="ListParagraph"/>
              <w:numPr>
                <w:ilvl w:val="0"/>
                <w:numId w:val="28"/>
              </w:numPr>
              <w:autoSpaceDE w:val="0"/>
              <w:autoSpaceDN w:val="0"/>
              <w:adjustRightInd w:val="0"/>
              <w:spacing w:after="0"/>
              <w:rPr>
                <w:rFonts w:ascii="CIDFont+F1" w:hAnsi="CIDFont+F1" w:cs="CIDFont+F1"/>
                <w:sz w:val="20"/>
                <w:szCs w:val="20"/>
              </w:rPr>
            </w:pPr>
            <w:r>
              <w:rPr>
                <w:rFonts w:ascii="CIDFont+F1" w:hAnsi="CIDFont+F1" w:cs="CIDFont+F1"/>
                <w:sz w:val="20"/>
                <w:szCs w:val="20"/>
              </w:rPr>
              <w:t xml:space="preserve">La </w:t>
            </w:r>
            <w:r w:rsidRPr="00B1725B">
              <w:rPr>
                <w:rFonts w:ascii="CIDFont+F1" w:hAnsi="CIDFont+F1" w:cs="CIDFont+F1"/>
                <w:sz w:val="20"/>
                <w:szCs w:val="20"/>
              </w:rPr>
              <w:t>cartographie et engagement des parties prenantes</w:t>
            </w:r>
          </w:p>
          <w:p w14:paraId="121E36A1" w14:textId="2380D54C" w:rsidR="00B1725B" w:rsidRPr="002A60C9" w:rsidRDefault="00B1725B" w:rsidP="002A60C9">
            <w:pPr>
              <w:pStyle w:val="ListParagraph"/>
              <w:numPr>
                <w:ilvl w:val="0"/>
                <w:numId w:val="28"/>
              </w:numPr>
              <w:autoSpaceDE w:val="0"/>
              <w:autoSpaceDN w:val="0"/>
              <w:adjustRightInd w:val="0"/>
              <w:spacing w:after="0"/>
              <w:rPr>
                <w:rFonts w:ascii="CIDFont+F1" w:hAnsi="CIDFont+F1" w:cs="CIDFont+F1"/>
                <w:sz w:val="20"/>
                <w:szCs w:val="20"/>
              </w:rPr>
            </w:pPr>
            <w:r>
              <w:rPr>
                <w:rFonts w:ascii="CIDFont+F1" w:hAnsi="CIDFont+F1" w:cs="CIDFont+F1"/>
                <w:sz w:val="20"/>
                <w:szCs w:val="20"/>
              </w:rPr>
              <w:t xml:space="preserve">Les </w:t>
            </w:r>
            <w:r w:rsidRPr="002A60C9">
              <w:rPr>
                <w:rFonts w:ascii="CIDFont+F1" w:hAnsi="CIDFont+F1" w:cs="CIDFont+F1"/>
                <w:sz w:val="20"/>
                <w:szCs w:val="20"/>
              </w:rPr>
              <w:t>aspects spécifiques de l'évaluation environnementale et sociale</w:t>
            </w:r>
          </w:p>
          <w:p w14:paraId="7804B9BF" w14:textId="77777777" w:rsidR="00B1725B" w:rsidRDefault="00B1725B" w:rsidP="002A60C9">
            <w:pPr>
              <w:pStyle w:val="ListParagraph"/>
              <w:numPr>
                <w:ilvl w:val="0"/>
                <w:numId w:val="28"/>
              </w:numPr>
              <w:autoSpaceDE w:val="0"/>
              <w:autoSpaceDN w:val="0"/>
              <w:adjustRightInd w:val="0"/>
              <w:spacing w:after="0"/>
              <w:rPr>
                <w:rFonts w:ascii="CIDFont+F1" w:hAnsi="CIDFont+F1" w:cs="CIDFont+F1"/>
                <w:sz w:val="20"/>
                <w:szCs w:val="20"/>
              </w:rPr>
            </w:pPr>
            <w:r>
              <w:rPr>
                <w:rFonts w:ascii="CIDFont+F1" w:hAnsi="CIDFont+F1" w:cs="CIDFont+F1"/>
                <w:sz w:val="20"/>
                <w:szCs w:val="20"/>
              </w:rPr>
              <w:t xml:space="preserve">La </w:t>
            </w:r>
            <w:r w:rsidRPr="00B1725B">
              <w:rPr>
                <w:rFonts w:ascii="CIDFont+F1" w:hAnsi="CIDFont+F1" w:cs="CIDFont+F1"/>
                <w:sz w:val="20"/>
                <w:szCs w:val="20"/>
              </w:rPr>
              <w:t>préparation et réponse aux situations d'urgence</w:t>
            </w:r>
          </w:p>
          <w:p w14:paraId="4DA2DA22" w14:textId="4DFAF8CE" w:rsidR="00FB0556" w:rsidRPr="00165946" w:rsidRDefault="00B1725B" w:rsidP="00165946">
            <w:pPr>
              <w:pStyle w:val="ListParagraph"/>
              <w:numPr>
                <w:ilvl w:val="0"/>
                <w:numId w:val="28"/>
              </w:numPr>
              <w:autoSpaceDE w:val="0"/>
              <w:autoSpaceDN w:val="0"/>
              <w:adjustRightInd w:val="0"/>
              <w:spacing w:after="0"/>
              <w:rPr>
                <w:rFonts w:ascii="CIDFont+F1" w:hAnsi="CIDFont+F1" w:cs="CIDFont+F1"/>
                <w:sz w:val="20"/>
                <w:szCs w:val="20"/>
              </w:rPr>
            </w:pPr>
            <w:r>
              <w:rPr>
                <w:rFonts w:ascii="CIDFont+F1" w:hAnsi="CIDFont+F1" w:cs="CIDFont+F1"/>
                <w:sz w:val="20"/>
                <w:szCs w:val="20"/>
              </w:rPr>
              <w:t xml:space="preserve">La </w:t>
            </w:r>
            <w:r w:rsidRPr="002A60C9">
              <w:rPr>
                <w:rFonts w:ascii="CIDFont+F1" w:hAnsi="CIDFont+F1" w:cs="CIDFont+F1"/>
                <w:sz w:val="20"/>
                <w:szCs w:val="20"/>
              </w:rPr>
              <w:t xml:space="preserve">santé et </w:t>
            </w:r>
            <w:r w:rsidR="002A60C9">
              <w:rPr>
                <w:rFonts w:ascii="CIDFont+F1" w:hAnsi="CIDFont+F1" w:cs="CIDFont+F1"/>
                <w:sz w:val="20"/>
                <w:szCs w:val="20"/>
              </w:rPr>
              <w:t xml:space="preserve">la </w:t>
            </w:r>
            <w:r w:rsidRPr="002A60C9">
              <w:rPr>
                <w:rFonts w:ascii="CIDFont+F1" w:hAnsi="CIDFont+F1" w:cs="CIDFont+F1"/>
                <w:sz w:val="20"/>
                <w:szCs w:val="20"/>
              </w:rPr>
              <w:t xml:space="preserve">sécurité </w:t>
            </w:r>
            <w:r w:rsidR="002A60C9">
              <w:rPr>
                <w:rFonts w:ascii="CIDFont+F1" w:hAnsi="CIDFont+F1" w:cs="CIDFont+F1"/>
                <w:sz w:val="20"/>
                <w:szCs w:val="20"/>
              </w:rPr>
              <w:t xml:space="preserve">des </w:t>
            </w:r>
            <w:r w:rsidR="002A60C9" w:rsidRPr="002A60C9">
              <w:rPr>
                <w:rFonts w:ascii="CIDFont+F1" w:hAnsi="CIDFont+F1" w:cs="CIDFont+F1"/>
                <w:sz w:val="20"/>
                <w:szCs w:val="20"/>
              </w:rPr>
              <w:t>communaut</w:t>
            </w:r>
            <w:r w:rsidR="002A60C9">
              <w:rPr>
                <w:rFonts w:ascii="CIDFont+F1" w:hAnsi="CIDFont+F1" w:cs="CIDFont+F1"/>
                <w:sz w:val="20"/>
                <w:szCs w:val="20"/>
              </w:rPr>
              <w:t>é</w:t>
            </w:r>
            <w:r w:rsidR="002A60C9" w:rsidRPr="002A60C9">
              <w:rPr>
                <w:rFonts w:ascii="CIDFont+F1" w:hAnsi="CIDFont+F1" w:cs="CIDFont+F1"/>
                <w:sz w:val="20"/>
                <w:szCs w:val="20"/>
              </w:rPr>
              <w:t>s</w:t>
            </w:r>
            <w:r w:rsidRPr="002A60C9">
              <w:rPr>
                <w:rFonts w:ascii="CIDFont+F1" w:hAnsi="CIDFont+F1" w:cs="CIDFont+F1"/>
                <w:sz w:val="20"/>
                <w:szCs w:val="20"/>
              </w:rPr>
              <w:t>.</w:t>
            </w:r>
          </w:p>
        </w:tc>
        <w:tc>
          <w:tcPr>
            <w:tcW w:w="3780" w:type="dxa"/>
          </w:tcPr>
          <w:p w14:paraId="4DA2DA23" w14:textId="6D537906" w:rsidR="003A184B" w:rsidRPr="003A184B" w:rsidRDefault="002A60C9" w:rsidP="00FB0556">
            <w:pPr>
              <w:keepLines/>
              <w:widowControl w:val="0"/>
              <w:rPr>
                <w:rFonts w:cstheme="minorHAnsi"/>
                <w:sz w:val="20"/>
                <w:szCs w:val="20"/>
              </w:rPr>
            </w:pPr>
            <w:r w:rsidRPr="002A60C9">
              <w:rPr>
                <w:rFonts w:cstheme="minorHAnsi"/>
                <w:sz w:val="20"/>
                <w:szCs w:val="20"/>
              </w:rPr>
              <w:t>Plan de formation à préparer au premier semestre et à mettre en œuvre pendant toute la durée du projet.</w:t>
            </w:r>
          </w:p>
        </w:tc>
        <w:tc>
          <w:tcPr>
            <w:tcW w:w="3690" w:type="dxa"/>
          </w:tcPr>
          <w:p w14:paraId="4DA2DA24" w14:textId="51CF56C8" w:rsidR="00FB0556" w:rsidRPr="003A184B" w:rsidRDefault="00050D79" w:rsidP="00FB0556">
            <w:pPr>
              <w:keepLines/>
              <w:widowControl w:val="0"/>
              <w:rPr>
                <w:rFonts w:cstheme="minorHAnsi"/>
                <w:sz w:val="20"/>
                <w:szCs w:val="20"/>
              </w:rPr>
            </w:pPr>
            <w:r w:rsidRPr="003A184B">
              <w:rPr>
                <w:rFonts w:cstheme="minorHAnsi"/>
                <w:sz w:val="20"/>
                <w:szCs w:val="20"/>
              </w:rPr>
              <w:t>UGP</w:t>
            </w:r>
            <w:r w:rsidR="003A184B" w:rsidRPr="003A184B">
              <w:rPr>
                <w:rFonts w:cstheme="minorHAnsi"/>
                <w:sz w:val="20"/>
                <w:szCs w:val="20"/>
              </w:rPr>
              <w:t>C/</w:t>
            </w:r>
            <w:proofErr w:type="spellStart"/>
            <w:r w:rsidR="003A184B" w:rsidRPr="003A184B">
              <w:rPr>
                <w:rFonts w:cstheme="minorHAnsi"/>
                <w:sz w:val="20"/>
                <w:szCs w:val="20"/>
              </w:rPr>
              <w:t>UGPRs</w:t>
            </w:r>
            <w:proofErr w:type="spellEnd"/>
          </w:p>
        </w:tc>
      </w:tr>
    </w:tbl>
    <w:p w14:paraId="4DA2DA30" w14:textId="77777777" w:rsidR="00935680" w:rsidRPr="003960FA" w:rsidRDefault="00935680"/>
    <w:p w14:paraId="4DA2DA32" w14:textId="758D5493" w:rsidR="00935680" w:rsidRPr="003960FA" w:rsidRDefault="00935680" w:rsidP="00946121"/>
    <w:sectPr w:rsidR="00935680" w:rsidRPr="003960FA" w:rsidSect="008521C9">
      <w:headerReference w:type="even" r:id="rId18"/>
      <w:headerReference w:type="default" r:id="rId19"/>
      <w:footerReference w:type="default" r:id="rId20"/>
      <w:headerReference w:type="first" r:id="rId21"/>
      <w:pgSz w:w="15840" w:h="12240" w:orient="landscape"/>
      <w:pgMar w:top="398" w:right="720" w:bottom="426" w:left="720" w:header="426" w:footer="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7662" w14:textId="77777777" w:rsidR="00232737" w:rsidRDefault="00232737" w:rsidP="00E35CB2">
      <w:r>
        <w:separator/>
      </w:r>
    </w:p>
    <w:p w14:paraId="65E99093" w14:textId="77777777" w:rsidR="00232737" w:rsidRDefault="00232737"/>
    <w:p w14:paraId="4C5C44B9" w14:textId="77777777" w:rsidR="00232737" w:rsidRDefault="00232737"/>
    <w:p w14:paraId="0AC54793" w14:textId="77777777" w:rsidR="00232737" w:rsidRDefault="00232737"/>
    <w:p w14:paraId="4D578820" w14:textId="77777777" w:rsidR="00232737" w:rsidRDefault="00232737"/>
  </w:endnote>
  <w:endnote w:type="continuationSeparator" w:id="0">
    <w:p w14:paraId="61833041" w14:textId="77777777" w:rsidR="00232737" w:rsidRDefault="00232737" w:rsidP="00E35CB2">
      <w:r>
        <w:continuationSeparator/>
      </w:r>
    </w:p>
    <w:p w14:paraId="00DF0715" w14:textId="77777777" w:rsidR="00232737" w:rsidRDefault="00232737"/>
    <w:p w14:paraId="071F5F77" w14:textId="77777777" w:rsidR="00232737" w:rsidRDefault="00232737"/>
    <w:p w14:paraId="599DF980" w14:textId="77777777" w:rsidR="00232737" w:rsidRDefault="00232737"/>
    <w:p w14:paraId="1C797B5B" w14:textId="77777777" w:rsidR="00232737" w:rsidRDefault="00232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8">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DA5F" w14:textId="77777777" w:rsidR="00232737" w:rsidRDefault="00232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4DA2DA60" w14:textId="77777777" w:rsidR="00232737" w:rsidRDefault="002327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fldChar w:fldCharType="end"/>
        </w:r>
        <w:r>
          <w:t xml:space="preserve"> | </w:t>
        </w:r>
        <w:r>
          <w:rPr>
            <w:color w:val="7F7F7F" w:themeColor="background1" w:themeShade="7F"/>
          </w:rPr>
          <w:t>Page</w:t>
        </w:r>
      </w:p>
    </w:sdtContent>
  </w:sdt>
  <w:p w14:paraId="4DA2DA61" w14:textId="77777777" w:rsidR="00232737" w:rsidRDefault="00232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DA63" w14:textId="77777777" w:rsidR="00232737" w:rsidRDefault="002327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4DA2DA6C" w14:textId="77777777" w:rsidR="00232737" w:rsidRDefault="002327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fldChar w:fldCharType="end"/>
        </w:r>
        <w:r>
          <w:t xml:space="preserve"> | </w:t>
        </w:r>
        <w:r>
          <w:rPr>
            <w:color w:val="7F7F7F" w:themeColor="background1" w:themeShade="7F"/>
          </w:rPr>
          <w:t>Page</w:t>
        </w:r>
      </w:p>
    </w:sdtContent>
  </w:sdt>
  <w:p w14:paraId="4DA2DA6D" w14:textId="77777777" w:rsidR="00232737" w:rsidRDefault="00232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CBC3" w14:textId="77777777" w:rsidR="00232737" w:rsidRDefault="00232737" w:rsidP="00E35CB2">
      <w:r>
        <w:separator/>
      </w:r>
    </w:p>
    <w:p w14:paraId="027CBF2D" w14:textId="77777777" w:rsidR="00232737" w:rsidRDefault="00232737"/>
    <w:p w14:paraId="06BED1D5" w14:textId="77777777" w:rsidR="00232737" w:rsidRDefault="00232737"/>
    <w:p w14:paraId="6184797F" w14:textId="77777777" w:rsidR="00232737" w:rsidRDefault="00232737"/>
    <w:p w14:paraId="3235F8E9" w14:textId="77777777" w:rsidR="00232737" w:rsidRDefault="00232737"/>
  </w:footnote>
  <w:footnote w:type="continuationSeparator" w:id="0">
    <w:p w14:paraId="5D266872" w14:textId="77777777" w:rsidR="00232737" w:rsidRDefault="00232737" w:rsidP="00E35CB2">
      <w:r>
        <w:continuationSeparator/>
      </w:r>
    </w:p>
    <w:p w14:paraId="2581B89B" w14:textId="77777777" w:rsidR="00232737" w:rsidRDefault="00232737"/>
    <w:p w14:paraId="7C93C7F4" w14:textId="77777777" w:rsidR="00232737" w:rsidRDefault="00232737"/>
    <w:p w14:paraId="4C6ADDF1" w14:textId="77777777" w:rsidR="00232737" w:rsidRDefault="00232737"/>
    <w:p w14:paraId="3AD13B98" w14:textId="77777777" w:rsidR="00232737" w:rsidRDefault="00232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DA5C" w14:textId="77777777" w:rsidR="00232737" w:rsidRDefault="00232737">
    <w:pPr>
      <w:pStyle w:val="Header"/>
    </w:pPr>
    <w:r>
      <w:rPr>
        <w:noProof/>
        <w:lang w:eastAsia="fr-FR"/>
      </w:rPr>
      <mc:AlternateContent>
        <mc:Choice Requires="wps">
          <w:drawing>
            <wp:anchor distT="0" distB="0" distL="114300" distR="114300" simplePos="0" relativeHeight="251660288" behindDoc="1" locked="0" layoutInCell="0" allowOverlap="1" wp14:anchorId="4DA2DA6F" wp14:editId="4DA2DA70">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A2DA77" w14:textId="77777777" w:rsidR="00232737" w:rsidRDefault="0023273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A2DA6F"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4DA2DA77" w14:textId="77777777" w:rsidR="00232737" w:rsidRDefault="0023273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DA5D" w14:textId="77777777" w:rsidR="00232737" w:rsidRPr="00FA0A88" w:rsidRDefault="00232737" w:rsidP="008521C9">
    <w:pPr>
      <w:pStyle w:val="Header"/>
      <w:jc w:val="right"/>
      <w:rPr>
        <w:rFonts w:cstheme="minorHAnsi"/>
        <w:b/>
        <w:smallCaps/>
        <w:color w:val="808080" w:themeColor="background1" w:themeShade="80"/>
        <w:sz w:val="18"/>
        <w:szCs w:val="18"/>
      </w:rPr>
    </w:pPr>
    <w:r>
      <w:rPr>
        <w:b/>
        <w:smallCaps/>
        <w:noProof/>
        <w:sz w:val="18"/>
        <w:szCs w:val="18"/>
        <w:lang w:eastAsia="fr-FR"/>
      </w:rPr>
      <mc:AlternateContent>
        <mc:Choice Requires="wps">
          <w:drawing>
            <wp:anchor distT="0" distB="0" distL="114300" distR="114300" simplePos="0" relativeHeight="251666432" behindDoc="1" locked="0" layoutInCell="0" allowOverlap="1" wp14:anchorId="4DA2DA71" wp14:editId="4DA2DA72">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A2DA78" w14:textId="77777777" w:rsidR="00232737" w:rsidRDefault="0023273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A2DA71"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4DA2DA78" w14:textId="77777777" w:rsidR="00232737" w:rsidRDefault="0023273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r>
      <w:rPr>
        <w:b/>
        <w:color w:val="808080" w:themeColor="background1" w:themeShade="80"/>
        <w:sz w:val="16"/>
        <w:szCs w:val="16"/>
      </w:rPr>
      <w:tab/>
    </w:r>
    <w:r>
      <w:rPr>
        <w:b/>
        <w:color w:val="808080" w:themeColor="background1" w:themeShade="80"/>
        <w:sz w:val="16"/>
        <w:szCs w:val="16"/>
      </w:rPr>
      <w:tab/>
    </w:r>
  </w:p>
  <w:p w14:paraId="4DA2DA5E" w14:textId="77777777" w:rsidR="00232737" w:rsidRPr="00AD0A1F" w:rsidRDefault="00232737"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DA62" w14:textId="77777777" w:rsidR="00232737" w:rsidRDefault="00232737">
    <w:pPr>
      <w:pStyle w:val="Header"/>
    </w:pPr>
    <w:r>
      <w:rPr>
        <w:noProof/>
        <w:lang w:eastAsia="fr-FR"/>
      </w:rPr>
      <mc:AlternateContent>
        <mc:Choice Requires="wps">
          <w:drawing>
            <wp:anchor distT="0" distB="0" distL="114300" distR="114300" simplePos="0" relativeHeight="251654144" behindDoc="1" locked="0" layoutInCell="0" allowOverlap="1" wp14:anchorId="4DA2DA73" wp14:editId="4DA2DA74">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A2DA79" w14:textId="77777777" w:rsidR="00232737" w:rsidRDefault="0023273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A2DA73"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4DA2DA79" w14:textId="77777777" w:rsidR="00232737" w:rsidRDefault="00232737"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DA64" w14:textId="77777777" w:rsidR="00232737" w:rsidRDefault="00232737">
    <w:pPr>
      <w:pStyle w:val="Header"/>
    </w:pPr>
  </w:p>
  <w:p w14:paraId="4DA2DA65" w14:textId="77777777" w:rsidR="00232737" w:rsidRDefault="00232737"/>
  <w:p w14:paraId="4DA2DA66" w14:textId="77777777" w:rsidR="00232737" w:rsidRDefault="00232737"/>
  <w:p w14:paraId="4DA2DA67" w14:textId="77777777" w:rsidR="00232737" w:rsidRDefault="00232737"/>
  <w:p w14:paraId="4DA2DA68" w14:textId="77777777" w:rsidR="00232737" w:rsidRDefault="0023273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DA69" w14:textId="77777777" w:rsidR="00232737" w:rsidRPr="00506C68" w:rsidRDefault="00232737" w:rsidP="008521C9">
    <w:pPr>
      <w:pStyle w:val="Header"/>
      <w:rPr>
        <w:rFonts w:cstheme="minorHAnsi"/>
        <w:b/>
        <w:color w:val="808080" w:themeColor="background1" w:themeShade="80"/>
        <w:sz w:val="16"/>
        <w:szCs w:val="16"/>
      </w:rPr>
    </w:pPr>
    <w:r>
      <w:rPr>
        <w:b/>
        <w:noProof/>
        <w:sz w:val="18"/>
        <w:szCs w:val="18"/>
        <w:lang w:eastAsia="fr-FR"/>
      </w:rPr>
      <mc:AlternateContent>
        <mc:Choice Requires="wps">
          <w:drawing>
            <wp:anchor distT="0" distB="0" distL="114300" distR="114300" simplePos="0" relativeHeight="251690496" behindDoc="1" locked="0" layoutInCell="0" allowOverlap="1" wp14:anchorId="4DA2DA75" wp14:editId="4DA2DA76">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A2DA7A" w14:textId="77777777" w:rsidR="00232737" w:rsidRDefault="00232737"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A2DA75"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v:stroke joinstyle="round"/>
              <o:lock v:ext="edit" shapetype="t"/>
              <v:textbox style="mso-fit-shape-to-text:t">
                <w:txbxContent>
                  <w:p w14:paraId="4DA2DA7A" w14:textId="77777777" w:rsidR="00232737" w:rsidRDefault="00232737"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r>
      <w:rPr>
        <w:b/>
        <w:color w:val="808080" w:themeColor="background1" w:themeShade="80"/>
        <w:sz w:val="16"/>
        <w:szCs w:val="16"/>
      </w:rPr>
      <w:tab/>
    </w:r>
    <w:r>
      <w:rPr>
        <w:b/>
        <w:color w:val="808080" w:themeColor="background1" w:themeShade="80"/>
        <w:sz w:val="16"/>
        <w:szCs w:val="16"/>
      </w:rPr>
      <w:tab/>
    </w:r>
    <w:r>
      <w:rPr>
        <w:b/>
        <w:color w:val="808080" w:themeColor="background1" w:themeShade="80"/>
        <w:sz w:val="16"/>
        <w:szCs w:val="16"/>
      </w:rPr>
      <w:tab/>
    </w:r>
  </w:p>
  <w:p w14:paraId="4DA2DA6A" w14:textId="77777777" w:rsidR="00232737" w:rsidRPr="00506C68" w:rsidRDefault="00232737" w:rsidP="000A0AEB">
    <w:pPr>
      <w:pStyle w:val="Header"/>
      <w:rPr>
        <w:rFonts w:cstheme="minorHAnsi"/>
        <w:b/>
        <w:color w:val="808080" w:themeColor="background1" w:themeShade="80"/>
        <w:sz w:val="16"/>
        <w:szCs w:val="16"/>
      </w:rPr>
    </w:pPr>
  </w:p>
  <w:p w14:paraId="4DA2DA6B" w14:textId="77777777" w:rsidR="00232737" w:rsidRDefault="00232737"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DA6E" w14:textId="77777777" w:rsidR="00232737" w:rsidRDefault="00232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5E3"/>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hybridMultilevel"/>
    <w:tmpl w:val="539270E8"/>
    <w:lvl w:ilvl="0" w:tplc="E7B002EA">
      <w:start w:val="1"/>
      <w:numFmt w:val="decimal"/>
      <w:pStyle w:val="Heading1"/>
      <w:lvlText w:val="%1."/>
      <w:lvlJc w:val="left"/>
      <w:pPr>
        <w:ind w:left="0" w:firstLine="0"/>
      </w:pPr>
      <w:rPr>
        <w:rFonts w:hint="default"/>
        <w:b w:val="0"/>
        <w:bCs w:val="0"/>
        <w:sz w:val="22"/>
        <w:szCs w:val="22"/>
      </w:rPr>
    </w:lvl>
    <w:lvl w:ilvl="1" w:tplc="099020D0">
      <w:start w:val="1"/>
      <w:numFmt w:val="none"/>
      <w:pStyle w:val="Heading2"/>
      <w:suff w:val="nothing"/>
      <w:lvlText w:val=""/>
      <w:lvlJc w:val="left"/>
      <w:pPr>
        <w:ind w:left="0" w:firstLine="0"/>
      </w:pPr>
      <w:rPr>
        <w:rFonts w:hint="default"/>
        <w:lang w:val="en-US"/>
      </w:rPr>
    </w:lvl>
    <w:lvl w:ilvl="2" w:tplc="4A1EEC40">
      <w:start w:val="1"/>
      <w:numFmt w:val="upperLetter"/>
      <w:pStyle w:val="Heading3"/>
      <w:lvlText w:val="%3."/>
      <w:lvlJc w:val="left"/>
      <w:pPr>
        <w:ind w:left="450" w:hanging="360"/>
      </w:pPr>
      <w:rPr>
        <w:rFonts w:hint="default"/>
      </w:rPr>
    </w:lvl>
    <w:lvl w:ilvl="3" w:tplc="D206B8A0">
      <w:start w:val="1"/>
      <w:numFmt w:val="none"/>
      <w:pStyle w:val="Heading4"/>
      <w:suff w:val="nothing"/>
      <w:lvlText w:val=""/>
      <w:lvlJc w:val="left"/>
      <w:pPr>
        <w:ind w:left="0" w:firstLine="0"/>
      </w:pPr>
      <w:rPr>
        <w:rFonts w:hint="default"/>
      </w:rPr>
    </w:lvl>
    <w:lvl w:ilvl="4" w:tplc="75B2BCB8">
      <w:start w:val="1"/>
      <w:numFmt w:val="none"/>
      <w:pStyle w:val="Heading5"/>
      <w:suff w:val="nothing"/>
      <w:lvlText w:val=""/>
      <w:lvlJc w:val="left"/>
      <w:pPr>
        <w:ind w:left="-32767" w:firstLine="0"/>
      </w:pPr>
      <w:rPr>
        <w:rFonts w:hint="default"/>
      </w:rPr>
    </w:lvl>
    <w:lvl w:ilvl="5" w:tplc="8EF27E26">
      <w:start w:val="1"/>
      <w:numFmt w:val="none"/>
      <w:pStyle w:val="Heading6"/>
      <w:suff w:val="nothing"/>
      <w:lvlText w:val=""/>
      <w:lvlJc w:val="left"/>
      <w:pPr>
        <w:ind w:left="-32767" w:firstLine="0"/>
      </w:pPr>
      <w:rPr>
        <w:rFonts w:hint="default"/>
      </w:rPr>
    </w:lvl>
    <w:lvl w:ilvl="6" w:tplc="16D07E1C">
      <w:start w:val="1"/>
      <w:numFmt w:val="none"/>
      <w:pStyle w:val="Heading7"/>
      <w:suff w:val="nothing"/>
      <w:lvlText w:val=""/>
      <w:lvlJc w:val="left"/>
      <w:pPr>
        <w:ind w:left="0" w:firstLine="0"/>
      </w:pPr>
      <w:rPr>
        <w:rFonts w:hint="default"/>
      </w:rPr>
    </w:lvl>
    <w:lvl w:ilvl="7" w:tplc="98BCFB60">
      <w:start w:val="1"/>
      <w:numFmt w:val="none"/>
      <w:pStyle w:val="Heading8"/>
      <w:suff w:val="nothing"/>
      <w:lvlText w:val=""/>
      <w:lvlJc w:val="left"/>
      <w:pPr>
        <w:ind w:left="0" w:firstLine="0"/>
      </w:pPr>
      <w:rPr>
        <w:rFonts w:hint="default"/>
      </w:rPr>
    </w:lvl>
    <w:lvl w:ilvl="8" w:tplc="2196EC46">
      <w:start w:val="1"/>
      <w:numFmt w:val="none"/>
      <w:pStyle w:val="Heading9"/>
      <w:suff w:val="nothing"/>
      <w:lvlText w:val=""/>
      <w:lvlJc w:val="left"/>
      <w:pPr>
        <w:ind w:left="0" w:firstLine="0"/>
      </w:pPr>
      <w:rPr>
        <w:rFonts w:hint="default"/>
      </w:rPr>
    </w:lvl>
  </w:abstractNum>
  <w:abstractNum w:abstractNumId="3"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9160F"/>
    <w:multiLevelType w:val="hybridMultilevel"/>
    <w:tmpl w:val="BEFC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D6A0E"/>
    <w:multiLevelType w:val="hybridMultilevel"/>
    <w:tmpl w:val="3A1CC522"/>
    <w:lvl w:ilvl="0" w:tplc="5A12CC40">
      <w:start w:val="2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2C47B69"/>
    <w:multiLevelType w:val="hybridMultilevel"/>
    <w:tmpl w:val="615C5EFE"/>
    <w:lvl w:ilvl="0" w:tplc="5130F432">
      <w:start w:val="1999"/>
      <w:numFmt w:val="bullet"/>
      <w:lvlText w:val="-"/>
      <w:lvlJc w:val="left"/>
      <w:pPr>
        <w:ind w:left="720" w:hanging="360"/>
      </w:pPr>
      <w:rPr>
        <w:rFonts w:ascii="Calibri" w:hAnsi="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465F6E"/>
    <w:multiLevelType w:val="hybridMultilevel"/>
    <w:tmpl w:val="40964534"/>
    <w:lvl w:ilvl="0" w:tplc="1DBC1A10">
      <w:numFmt w:val="bullet"/>
      <w:lvlText w:val="•"/>
      <w:lvlJc w:val="left"/>
      <w:pPr>
        <w:ind w:left="360" w:hanging="360"/>
      </w:pPr>
      <w:rPr>
        <w:rFonts w:ascii="CIDFont+F8" w:eastAsiaTheme="minorHAnsi" w:hAnsi="CIDFont+F8" w:cs="CIDFont+F8"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C51DF6"/>
    <w:multiLevelType w:val="hybridMultilevel"/>
    <w:tmpl w:val="F6A2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A4C6E"/>
    <w:multiLevelType w:val="hybridMultilevel"/>
    <w:tmpl w:val="5E787F28"/>
    <w:lvl w:ilvl="0" w:tplc="040C0001">
      <w:start w:val="1"/>
      <w:numFmt w:val="bullet"/>
      <w:lvlText w:val=""/>
      <w:lvlJc w:val="left"/>
      <w:pPr>
        <w:ind w:left="1610" w:hanging="360"/>
      </w:pPr>
      <w:rPr>
        <w:rFonts w:ascii="Symbol" w:hAnsi="Symbol" w:hint="default"/>
        <w:b/>
        <w:bCs/>
      </w:rPr>
    </w:lvl>
    <w:lvl w:ilvl="1" w:tplc="040C0003" w:tentative="1">
      <w:start w:val="1"/>
      <w:numFmt w:val="bullet"/>
      <w:lvlText w:val="o"/>
      <w:lvlJc w:val="left"/>
      <w:pPr>
        <w:ind w:left="2330" w:hanging="360"/>
      </w:pPr>
      <w:rPr>
        <w:rFonts w:ascii="Courier New" w:hAnsi="Courier New" w:cs="Courier New" w:hint="default"/>
      </w:rPr>
    </w:lvl>
    <w:lvl w:ilvl="2" w:tplc="040C0005" w:tentative="1">
      <w:start w:val="1"/>
      <w:numFmt w:val="bullet"/>
      <w:lvlText w:val=""/>
      <w:lvlJc w:val="left"/>
      <w:pPr>
        <w:ind w:left="3050" w:hanging="360"/>
      </w:pPr>
      <w:rPr>
        <w:rFonts w:ascii="Wingdings" w:hAnsi="Wingdings" w:hint="default"/>
      </w:rPr>
    </w:lvl>
    <w:lvl w:ilvl="3" w:tplc="040C0001" w:tentative="1">
      <w:start w:val="1"/>
      <w:numFmt w:val="bullet"/>
      <w:lvlText w:val=""/>
      <w:lvlJc w:val="left"/>
      <w:pPr>
        <w:ind w:left="3770" w:hanging="360"/>
      </w:pPr>
      <w:rPr>
        <w:rFonts w:ascii="Symbol" w:hAnsi="Symbol" w:hint="default"/>
      </w:rPr>
    </w:lvl>
    <w:lvl w:ilvl="4" w:tplc="040C0003" w:tentative="1">
      <w:start w:val="1"/>
      <w:numFmt w:val="bullet"/>
      <w:lvlText w:val="o"/>
      <w:lvlJc w:val="left"/>
      <w:pPr>
        <w:ind w:left="4490" w:hanging="360"/>
      </w:pPr>
      <w:rPr>
        <w:rFonts w:ascii="Courier New" w:hAnsi="Courier New" w:cs="Courier New" w:hint="default"/>
      </w:rPr>
    </w:lvl>
    <w:lvl w:ilvl="5" w:tplc="040C0005" w:tentative="1">
      <w:start w:val="1"/>
      <w:numFmt w:val="bullet"/>
      <w:lvlText w:val=""/>
      <w:lvlJc w:val="left"/>
      <w:pPr>
        <w:ind w:left="5210" w:hanging="360"/>
      </w:pPr>
      <w:rPr>
        <w:rFonts w:ascii="Wingdings" w:hAnsi="Wingdings" w:hint="default"/>
      </w:rPr>
    </w:lvl>
    <w:lvl w:ilvl="6" w:tplc="040C0001" w:tentative="1">
      <w:start w:val="1"/>
      <w:numFmt w:val="bullet"/>
      <w:lvlText w:val=""/>
      <w:lvlJc w:val="left"/>
      <w:pPr>
        <w:ind w:left="5930" w:hanging="360"/>
      </w:pPr>
      <w:rPr>
        <w:rFonts w:ascii="Symbol" w:hAnsi="Symbol" w:hint="default"/>
      </w:rPr>
    </w:lvl>
    <w:lvl w:ilvl="7" w:tplc="040C0003" w:tentative="1">
      <w:start w:val="1"/>
      <w:numFmt w:val="bullet"/>
      <w:lvlText w:val="o"/>
      <w:lvlJc w:val="left"/>
      <w:pPr>
        <w:ind w:left="6650" w:hanging="360"/>
      </w:pPr>
      <w:rPr>
        <w:rFonts w:ascii="Courier New" w:hAnsi="Courier New" w:cs="Courier New" w:hint="default"/>
      </w:rPr>
    </w:lvl>
    <w:lvl w:ilvl="8" w:tplc="040C0005" w:tentative="1">
      <w:start w:val="1"/>
      <w:numFmt w:val="bullet"/>
      <w:lvlText w:val=""/>
      <w:lvlJc w:val="left"/>
      <w:pPr>
        <w:ind w:left="7370" w:hanging="360"/>
      </w:pPr>
      <w:rPr>
        <w:rFonts w:ascii="Wingdings" w:hAnsi="Wingdings" w:hint="default"/>
      </w:rPr>
    </w:lvl>
  </w:abstractNum>
  <w:abstractNum w:abstractNumId="13" w15:restartNumberingAfterBreak="0">
    <w:nsid w:val="296B2DE0"/>
    <w:multiLevelType w:val="hybridMultilevel"/>
    <w:tmpl w:val="6E0C2F5E"/>
    <w:lvl w:ilvl="0" w:tplc="04090001">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F09F2"/>
    <w:multiLevelType w:val="hybridMultilevel"/>
    <w:tmpl w:val="733C64D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6"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21A52"/>
    <w:multiLevelType w:val="hybridMultilevel"/>
    <w:tmpl w:val="43B63116"/>
    <w:lvl w:ilvl="0" w:tplc="97CAA6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F43565"/>
    <w:multiLevelType w:val="hybridMultilevel"/>
    <w:tmpl w:val="45D8E4BC"/>
    <w:lvl w:ilvl="0" w:tplc="5130F432">
      <w:start w:val="1999"/>
      <w:numFmt w:val="bullet"/>
      <w:lvlText w:val="-"/>
      <w:lvlJc w:val="left"/>
      <w:pPr>
        <w:ind w:left="720" w:hanging="360"/>
      </w:pPr>
      <w:rPr>
        <w:rFonts w:ascii="Calibri" w:hAnsi="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7F29E7"/>
    <w:multiLevelType w:val="hybridMultilevel"/>
    <w:tmpl w:val="A086BCA8"/>
    <w:lvl w:ilvl="0" w:tplc="5130F432">
      <w:start w:val="1999"/>
      <w:numFmt w:val="bullet"/>
      <w:lvlText w:val="-"/>
      <w:lvlJc w:val="left"/>
      <w:pPr>
        <w:ind w:left="720" w:hanging="360"/>
      </w:pPr>
      <w:rPr>
        <w:rFonts w:ascii="Calibri" w:hAnsi="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0406F7"/>
    <w:multiLevelType w:val="hybridMultilevel"/>
    <w:tmpl w:val="9E86E5B0"/>
    <w:lvl w:ilvl="0" w:tplc="04090005">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756D6"/>
    <w:multiLevelType w:val="hybridMultilevel"/>
    <w:tmpl w:val="0AF6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303B6"/>
    <w:multiLevelType w:val="hybridMultilevel"/>
    <w:tmpl w:val="FD24F2AC"/>
    <w:lvl w:ilvl="0" w:tplc="04090001">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37F4A"/>
    <w:multiLevelType w:val="hybridMultilevel"/>
    <w:tmpl w:val="39F6E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A7E59"/>
    <w:multiLevelType w:val="hybridMultilevel"/>
    <w:tmpl w:val="D3DA0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6" w15:restartNumberingAfterBreak="0">
    <w:nsid w:val="7E2D5650"/>
    <w:multiLevelType w:val="hybridMultilevel"/>
    <w:tmpl w:val="3B1881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14"/>
  </w:num>
  <w:num w:numId="3">
    <w:abstractNumId w:val="33"/>
  </w:num>
  <w:num w:numId="4">
    <w:abstractNumId w:val="30"/>
  </w:num>
  <w:num w:numId="5">
    <w:abstractNumId w:val="24"/>
  </w:num>
  <w:num w:numId="6">
    <w:abstractNumId w:val="35"/>
  </w:num>
  <w:num w:numId="7">
    <w:abstractNumId w:val="3"/>
  </w:num>
  <w:num w:numId="8">
    <w:abstractNumId w:val="17"/>
  </w:num>
  <w:num w:numId="9">
    <w:abstractNumId w:val="2"/>
  </w:num>
  <w:num w:numId="10">
    <w:abstractNumId w:val="28"/>
  </w:num>
  <w:num w:numId="11">
    <w:abstractNumId w:val="16"/>
  </w:num>
  <w:num w:numId="12">
    <w:abstractNumId w:val="11"/>
  </w:num>
  <w:num w:numId="13">
    <w:abstractNumId w:val="10"/>
  </w:num>
  <w:num w:numId="14">
    <w:abstractNumId w:val="29"/>
  </w:num>
  <w:num w:numId="15">
    <w:abstractNumId w:val="27"/>
  </w:num>
  <w:num w:numId="16">
    <w:abstractNumId w:val="34"/>
  </w:num>
  <w:num w:numId="17">
    <w:abstractNumId w:val="23"/>
  </w:num>
  <w:num w:numId="18">
    <w:abstractNumId w:val="1"/>
  </w:num>
  <w:num w:numId="19">
    <w:abstractNumId w:val="18"/>
  </w:num>
  <w:num w:numId="20">
    <w:abstractNumId w:val="6"/>
  </w:num>
  <w:num w:numId="21">
    <w:abstractNumId w:val="5"/>
  </w:num>
  <w:num w:numId="22">
    <w:abstractNumId w:val="21"/>
  </w:num>
  <w:num w:numId="23">
    <w:abstractNumId w:val="19"/>
  </w:num>
  <w:num w:numId="24">
    <w:abstractNumId w:val="20"/>
  </w:num>
  <w:num w:numId="25">
    <w:abstractNumId w:val="15"/>
  </w:num>
  <w:num w:numId="26">
    <w:abstractNumId w:val="12"/>
  </w:num>
  <w:num w:numId="27">
    <w:abstractNumId w:val="7"/>
  </w:num>
  <w:num w:numId="28">
    <w:abstractNumId w:val="4"/>
  </w:num>
  <w:num w:numId="29">
    <w:abstractNumId w:val="26"/>
  </w:num>
  <w:num w:numId="30">
    <w:abstractNumId w:val="13"/>
  </w:num>
  <w:num w:numId="31">
    <w:abstractNumId w:val="0"/>
  </w:num>
  <w:num w:numId="32">
    <w:abstractNumId w:val="36"/>
  </w:num>
  <w:num w:numId="33">
    <w:abstractNumId w:val="8"/>
  </w:num>
  <w:num w:numId="34">
    <w:abstractNumId w:val="9"/>
  </w:num>
  <w:num w:numId="35">
    <w:abstractNumId w:val="31"/>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194A"/>
    <w:rsid w:val="00002B96"/>
    <w:rsid w:val="000034DD"/>
    <w:rsid w:val="0001001E"/>
    <w:rsid w:val="000110C3"/>
    <w:rsid w:val="00011EBF"/>
    <w:rsid w:val="000124AF"/>
    <w:rsid w:val="000132C7"/>
    <w:rsid w:val="00013663"/>
    <w:rsid w:val="000137E8"/>
    <w:rsid w:val="00014A2C"/>
    <w:rsid w:val="00015A47"/>
    <w:rsid w:val="0001758C"/>
    <w:rsid w:val="00021A5C"/>
    <w:rsid w:val="00022B03"/>
    <w:rsid w:val="00022CE4"/>
    <w:rsid w:val="00026C40"/>
    <w:rsid w:val="00032D86"/>
    <w:rsid w:val="00033CA0"/>
    <w:rsid w:val="00034D18"/>
    <w:rsid w:val="000360EB"/>
    <w:rsid w:val="00037DA5"/>
    <w:rsid w:val="00040743"/>
    <w:rsid w:val="00042370"/>
    <w:rsid w:val="00044394"/>
    <w:rsid w:val="000468DE"/>
    <w:rsid w:val="00047A48"/>
    <w:rsid w:val="00050BF8"/>
    <w:rsid w:val="00050D79"/>
    <w:rsid w:val="00051F1D"/>
    <w:rsid w:val="000539A8"/>
    <w:rsid w:val="00053C18"/>
    <w:rsid w:val="00053C5B"/>
    <w:rsid w:val="0005481F"/>
    <w:rsid w:val="00055DEE"/>
    <w:rsid w:val="000561A4"/>
    <w:rsid w:val="000564F8"/>
    <w:rsid w:val="00057C33"/>
    <w:rsid w:val="000623D2"/>
    <w:rsid w:val="00066E4A"/>
    <w:rsid w:val="000673EA"/>
    <w:rsid w:val="00071F61"/>
    <w:rsid w:val="000772AA"/>
    <w:rsid w:val="0008197A"/>
    <w:rsid w:val="00085C13"/>
    <w:rsid w:val="00087269"/>
    <w:rsid w:val="0009509F"/>
    <w:rsid w:val="000A0AEB"/>
    <w:rsid w:val="000A1CBB"/>
    <w:rsid w:val="000A1E89"/>
    <w:rsid w:val="000A2899"/>
    <w:rsid w:val="000A3317"/>
    <w:rsid w:val="000A3764"/>
    <w:rsid w:val="000A38EB"/>
    <w:rsid w:val="000A3C1D"/>
    <w:rsid w:val="000A419E"/>
    <w:rsid w:val="000B0093"/>
    <w:rsid w:val="000B047C"/>
    <w:rsid w:val="000B1513"/>
    <w:rsid w:val="000B6C87"/>
    <w:rsid w:val="000B7699"/>
    <w:rsid w:val="000C0CEF"/>
    <w:rsid w:val="000C4140"/>
    <w:rsid w:val="000C42E8"/>
    <w:rsid w:val="000C49A1"/>
    <w:rsid w:val="000C7765"/>
    <w:rsid w:val="000D043C"/>
    <w:rsid w:val="000D2DD9"/>
    <w:rsid w:val="000D3122"/>
    <w:rsid w:val="000D32EF"/>
    <w:rsid w:val="000D3946"/>
    <w:rsid w:val="000D494D"/>
    <w:rsid w:val="000D789C"/>
    <w:rsid w:val="000F0DFB"/>
    <w:rsid w:val="000F2E62"/>
    <w:rsid w:val="000F414A"/>
    <w:rsid w:val="000F7375"/>
    <w:rsid w:val="000F7D8D"/>
    <w:rsid w:val="00100272"/>
    <w:rsid w:val="00102036"/>
    <w:rsid w:val="00104DCD"/>
    <w:rsid w:val="00106028"/>
    <w:rsid w:val="00106199"/>
    <w:rsid w:val="0011243E"/>
    <w:rsid w:val="0011687C"/>
    <w:rsid w:val="00116B60"/>
    <w:rsid w:val="00120088"/>
    <w:rsid w:val="00121B6D"/>
    <w:rsid w:val="00122EB9"/>
    <w:rsid w:val="00126109"/>
    <w:rsid w:val="0012613A"/>
    <w:rsid w:val="0012625A"/>
    <w:rsid w:val="00126D90"/>
    <w:rsid w:val="00133BC8"/>
    <w:rsid w:val="00133EE0"/>
    <w:rsid w:val="00134E29"/>
    <w:rsid w:val="001374AC"/>
    <w:rsid w:val="00140BFE"/>
    <w:rsid w:val="00141040"/>
    <w:rsid w:val="0014113C"/>
    <w:rsid w:val="00142A09"/>
    <w:rsid w:val="00142B1E"/>
    <w:rsid w:val="001465A4"/>
    <w:rsid w:val="00146A78"/>
    <w:rsid w:val="00146AF0"/>
    <w:rsid w:val="00147DBF"/>
    <w:rsid w:val="00150F5C"/>
    <w:rsid w:val="0015236B"/>
    <w:rsid w:val="00152CC3"/>
    <w:rsid w:val="00154D0A"/>
    <w:rsid w:val="00155C19"/>
    <w:rsid w:val="0015620F"/>
    <w:rsid w:val="00160142"/>
    <w:rsid w:val="0016510F"/>
    <w:rsid w:val="0016519A"/>
    <w:rsid w:val="001653B7"/>
    <w:rsid w:val="00165946"/>
    <w:rsid w:val="00165F8C"/>
    <w:rsid w:val="0017069C"/>
    <w:rsid w:val="00170978"/>
    <w:rsid w:val="00170A10"/>
    <w:rsid w:val="00171C07"/>
    <w:rsid w:val="001722BA"/>
    <w:rsid w:val="001735CA"/>
    <w:rsid w:val="00173FA8"/>
    <w:rsid w:val="00174F64"/>
    <w:rsid w:val="0017533F"/>
    <w:rsid w:val="00175BD5"/>
    <w:rsid w:val="00177A87"/>
    <w:rsid w:val="00180617"/>
    <w:rsid w:val="00180640"/>
    <w:rsid w:val="00180BC5"/>
    <w:rsid w:val="00180FE0"/>
    <w:rsid w:val="00181C52"/>
    <w:rsid w:val="001841D0"/>
    <w:rsid w:val="001878F9"/>
    <w:rsid w:val="00190E90"/>
    <w:rsid w:val="001916A5"/>
    <w:rsid w:val="00191C2B"/>
    <w:rsid w:val="001928AF"/>
    <w:rsid w:val="00193DDF"/>
    <w:rsid w:val="00197015"/>
    <w:rsid w:val="00197E5B"/>
    <w:rsid w:val="001A1149"/>
    <w:rsid w:val="001A44BB"/>
    <w:rsid w:val="001A4B0E"/>
    <w:rsid w:val="001A66CA"/>
    <w:rsid w:val="001A7BD5"/>
    <w:rsid w:val="001B452C"/>
    <w:rsid w:val="001B5562"/>
    <w:rsid w:val="001B582D"/>
    <w:rsid w:val="001B6DD0"/>
    <w:rsid w:val="001C3495"/>
    <w:rsid w:val="001C410B"/>
    <w:rsid w:val="001C4B23"/>
    <w:rsid w:val="001C5A6D"/>
    <w:rsid w:val="001C7572"/>
    <w:rsid w:val="001D185A"/>
    <w:rsid w:val="001D2432"/>
    <w:rsid w:val="001D2466"/>
    <w:rsid w:val="001D24D9"/>
    <w:rsid w:val="001D3040"/>
    <w:rsid w:val="001D419C"/>
    <w:rsid w:val="001D4EE0"/>
    <w:rsid w:val="001D5C9F"/>
    <w:rsid w:val="001D672E"/>
    <w:rsid w:val="001D78A8"/>
    <w:rsid w:val="001E2BE9"/>
    <w:rsid w:val="001E72D4"/>
    <w:rsid w:val="001E778D"/>
    <w:rsid w:val="001F05A7"/>
    <w:rsid w:val="001F3344"/>
    <w:rsid w:val="001F4109"/>
    <w:rsid w:val="001F58D6"/>
    <w:rsid w:val="002000B2"/>
    <w:rsid w:val="00202F12"/>
    <w:rsid w:val="002034B8"/>
    <w:rsid w:val="002034F1"/>
    <w:rsid w:val="00203605"/>
    <w:rsid w:val="00203E7D"/>
    <w:rsid w:val="00205F71"/>
    <w:rsid w:val="002109C9"/>
    <w:rsid w:val="00210C57"/>
    <w:rsid w:val="002136D3"/>
    <w:rsid w:val="0022020D"/>
    <w:rsid w:val="002216CD"/>
    <w:rsid w:val="00223773"/>
    <w:rsid w:val="0022542C"/>
    <w:rsid w:val="00230427"/>
    <w:rsid w:val="00232737"/>
    <w:rsid w:val="00240BF9"/>
    <w:rsid w:val="00241A05"/>
    <w:rsid w:val="00243EDB"/>
    <w:rsid w:val="00253388"/>
    <w:rsid w:val="00253E3C"/>
    <w:rsid w:val="00254E4D"/>
    <w:rsid w:val="00255C1F"/>
    <w:rsid w:val="00256E8D"/>
    <w:rsid w:val="002645DA"/>
    <w:rsid w:val="00265CF6"/>
    <w:rsid w:val="00266460"/>
    <w:rsid w:val="00271148"/>
    <w:rsid w:val="00273BD1"/>
    <w:rsid w:val="00275063"/>
    <w:rsid w:val="00276158"/>
    <w:rsid w:val="0028055E"/>
    <w:rsid w:val="00282215"/>
    <w:rsid w:val="00284ABA"/>
    <w:rsid w:val="002900CC"/>
    <w:rsid w:val="002906A3"/>
    <w:rsid w:val="0029168A"/>
    <w:rsid w:val="0029223F"/>
    <w:rsid w:val="0029535A"/>
    <w:rsid w:val="0029679B"/>
    <w:rsid w:val="00297AB6"/>
    <w:rsid w:val="002A07CC"/>
    <w:rsid w:val="002A0C04"/>
    <w:rsid w:val="002A114F"/>
    <w:rsid w:val="002A1515"/>
    <w:rsid w:val="002A1E10"/>
    <w:rsid w:val="002A2A8C"/>
    <w:rsid w:val="002A60C9"/>
    <w:rsid w:val="002A67AD"/>
    <w:rsid w:val="002B04DB"/>
    <w:rsid w:val="002B3C6B"/>
    <w:rsid w:val="002C1F77"/>
    <w:rsid w:val="002C2034"/>
    <w:rsid w:val="002C3A34"/>
    <w:rsid w:val="002C4801"/>
    <w:rsid w:val="002C5A09"/>
    <w:rsid w:val="002C7822"/>
    <w:rsid w:val="002C7ADE"/>
    <w:rsid w:val="002D0B38"/>
    <w:rsid w:val="002D10FF"/>
    <w:rsid w:val="002D36AF"/>
    <w:rsid w:val="002D4AA2"/>
    <w:rsid w:val="002D5209"/>
    <w:rsid w:val="002D5E3A"/>
    <w:rsid w:val="002D7B18"/>
    <w:rsid w:val="002E1042"/>
    <w:rsid w:val="002E1C96"/>
    <w:rsid w:val="002E2019"/>
    <w:rsid w:val="002E328C"/>
    <w:rsid w:val="002E3E04"/>
    <w:rsid w:val="002E45B4"/>
    <w:rsid w:val="002E4BC6"/>
    <w:rsid w:val="002E55FE"/>
    <w:rsid w:val="002E7419"/>
    <w:rsid w:val="002F0ABB"/>
    <w:rsid w:val="002F0B51"/>
    <w:rsid w:val="002F160B"/>
    <w:rsid w:val="002F4814"/>
    <w:rsid w:val="002F64CF"/>
    <w:rsid w:val="00301D4F"/>
    <w:rsid w:val="00304827"/>
    <w:rsid w:val="00305BCF"/>
    <w:rsid w:val="00305E49"/>
    <w:rsid w:val="003108D8"/>
    <w:rsid w:val="00310A80"/>
    <w:rsid w:val="00311C97"/>
    <w:rsid w:val="00312CC6"/>
    <w:rsid w:val="00314725"/>
    <w:rsid w:val="00316C77"/>
    <w:rsid w:val="00316E2F"/>
    <w:rsid w:val="003217C5"/>
    <w:rsid w:val="00324ADB"/>
    <w:rsid w:val="003259FB"/>
    <w:rsid w:val="00325A2C"/>
    <w:rsid w:val="0032684B"/>
    <w:rsid w:val="00331885"/>
    <w:rsid w:val="00332FCC"/>
    <w:rsid w:val="003354F2"/>
    <w:rsid w:val="00337772"/>
    <w:rsid w:val="00342738"/>
    <w:rsid w:val="0034431B"/>
    <w:rsid w:val="00345CDB"/>
    <w:rsid w:val="00347F05"/>
    <w:rsid w:val="00352D91"/>
    <w:rsid w:val="003534C3"/>
    <w:rsid w:val="00353CAC"/>
    <w:rsid w:val="00354AD9"/>
    <w:rsid w:val="003570EB"/>
    <w:rsid w:val="00357BEE"/>
    <w:rsid w:val="003600CB"/>
    <w:rsid w:val="00360632"/>
    <w:rsid w:val="0036097D"/>
    <w:rsid w:val="003632DD"/>
    <w:rsid w:val="00364406"/>
    <w:rsid w:val="00365763"/>
    <w:rsid w:val="00367F16"/>
    <w:rsid w:val="00371EAC"/>
    <w:rsid w:val="0037259C"/>
    <w:rsid w:val="003739D9"/>
    <w:rsid w:val="0037539E"/>
    <w:rsid w:val="00375BD0"/>
    <w:rsid w:val="003767CF"/>
    <w:rsid w:val="00376DF6"/>
    <w:rsid w:val="00377019"/>
    <w:rsid w:val="003773AB"/>
    <w:rsid w:val="00383C2C"/>
    <w:rsid w:val="003851E2"/>
    <w:rsid w:val="0038605C"/>
    <w:rsid w:val="003864D7"/>
    <w:rsid w:val="00390F60"/>
    <w:rsid w:val="003912CD"/>
    <w:rsid w:val="003913C0"/>
    <w:rsid w:val="00392DBC"/>
    <w:rsid w:val="003960FA"/>
    <w:rsid w:val="003974D6"/>
    <w:rsid w:val="003A184B"/>
    <w:rsid w:val="003A2C36"/>
    <w:rsid w:val="003A3595"/>
    <w:rsid w:val="003A4A91"/>
    <w:rsid w:val="003A5743"/>
    <w:rsid w:val="003A6D9C"/>
    <w:rsid w:val="003B072E"/>
    <w:rsid w:val="003B5E96"/>
    <w:rsid w:val="003B600F"/>
    <w:rsid w:val="003B6EEA"/>
    <w:rsid w:val="003C16C5"/>
    <w:rsid w:val="003C1D4C"/>
    <w:rsid w:val="003C2002"/>
    <w:rsid w:val="003C2FB7"/>
    <w:rsid w:val="003C46A5"/>
    <w:rsid w:val="003C6A0B"/>
    <w:rsid w:val="003D133A"/>
    <w:rsid w:val="003D427E"/>
    <w:rsid w:val="003D58F8"/>
    <w:rsid w:val="003D62C7"/>
    <w:rsid w:val="003E1D7B"/>
    <w:rsid w:val="003E41FE"/>
    <w:rsid w:val="003E54DA"/>
    <w:rsid w:val="003E6028"/>
    <w:rsid w:val="003E6299"/>
    <w:rsid w:val="003F0BE8"/>
    <w:rsid w:val="003F1F1E"/>
    <w:rsid w:val="003F51D0"/>
    <w:rsid w:val="003F5202"/>
    <w:rsid w:val="003F61F6"/>
    <w:rsid w:val="003F74BC"/>
    <w:rsid w:val="003F7918"/>
    <w:rsid w:val="00402C16"/>
    <w:rsid w:val="00403D18"/>
    <w:rsid w:val="00404441"/>
    <w:rsid w:val="00404812"/>
    <w:rsid w:val="00405C2B"/>
    <w:rsid w:val="004075D2"/>
    <w:rsid w:val="00407CE1"/>
    <w:rsid w:val="00410A35"/>
    <w:rsid w:val="00411F06"/>
    <w:rsid w:val="00413756"/>
    <w:rsid w:val="004137A2"/>
    <w:rsid w:val="0041418E"/>
    <w:rsid w:val="004173F6"/>
    <w:rsid w:val="00417D70"/>
    <w:rsid w:val="00421196"/>
    <w:rsid w:val="00421ECE"/>
    <w:rsid w:val="004222F1"/>
    <w:rsid w:val="00422BDD"/>
    <w:rsid w:val="00423785"/>
    <w:rsid w:val="00423CAC"/>
    <w:rsid w:val="00425CD3"/>
    <w:rsid w:val="0043065D"/>
    <w:rsid w:val="00430BF7"/>
    <w:rsid w:val="00433B26"/>
    <w:rsid w:val="004472E6"/>
    <w:rsid w:val="0045080E"/>
    <w:rsid w:val="00450B3A"/>
    <w:rsid w:val="0045611D"/>
    <w:rsid w:val="0046130D"/>
    <w:rsid w:val="004626CF"/>
    <w:rsid w:val="0046390A"/>
    <w:rsid w:val="004650CC"/>
    <w:rsid w:val="0046582A"/>
    <w:rsid w:val="00466210"/>
    <w:rsid w:val="00470040"/>
    <w:rsid w:val="00471255"/>
    <w:rsid w:val="004714DB"/>
    <w:rsid w:val="004721D2"/>
    <w:rsid w:val="004728A0"/>
    <w:rsid w:val="004745B9"/>
    <w:rsid w:val="00474682"/>
    <w:rsid w:val="00474BE5"/>
    <w:rsid w:val="0047550F"/>
    <w:rsid w:val="00475D41"/>
    <w:rsid w:val="00475DE9"/>
    <w:rsid w:val="00476D65"/>
    <w:rsid w:val="00480898"/>
    <w:rsid w:val="00482710"/>
    <w:rsid w:val="00484356"/>
    <w:rsid w:val="00484A88"/>
    <w:rsid w:val="004875A9"/>
    <w:rsid w:val="004904F8"/>
    <w:rsid w:val="004909BA"/>
    <w:rsid w:val="00491701"/>
    <w:rsid w:val="00492173"/>
    <w:rsid w:val="00493FB9"/>
    <w:rsid w:val="004942A6"/>
    <w:rsid w:val="004973A4"/>
    <w:rsid w:val="00497F9A"/>
    <w:rsid w:val="004A295D"/>
    <w:rsid w:val="004A5380"/>
    <w:rsid w:val="004A7DCB"/>
    <w:rsid w:val="004B006E"/>
    <w:rsid w:val="004B0228"/>
    <w:rsid w:val="004B0A60"/>
    <w:rsid w:val="004B25C5"/>
    <w:rsid w:val="004B4F30"/>
    <w:rsid w:val="004B5968"/>
    <w:rsid w:val="004B5B25"/>
    <w:rsid w:val="004C26F7"/>
    <w:rsid w:val="004C681B"/>
    <w:rsid w:val="004D0C71"/>
    <w:rsid w:val="004D3A88"/>
    <w:rsid w:val="004D60D3"/>
    <w:rsid w:val="004D65A4"/>
    <w:rsid w:val="004D759F"/>
    <w:rsid w:val="004D7C69"/>
    <w:rsid w:val="004E00E0"/>
    <w:rsid w:val="004E0768"/>
    <w:rsid w:val="004E1392"/>
    <w:rsid w:val="004E51B0"/>
    <w:rsid w:val="004E5289"/>
    <w:rsid w:val="004E555A"/>
    <w:rsid w:val="004E5B50"/>
    <w:rsid w:val="004E661A"/>
    <w:rsid w:val="004E68EF"/>
    <w:rsid w:val="004E7CEA"/>
    <w:rsid w:val="004F1184"/>
    <w:rsid w:val="004F56F7"/>
    <w:rsid w:val="004F5C4E"/>
    <w:rsid w:val="004F5FD9"/>
    <w:rsid w:val="00500CDF"/>
    <w:rsid w:val="00501AA7"/>
    <w:rsid w:val="00502173"/>
    <w:rsid w:val="00503F93"/>
    <w:rsid w:val="0050556E"/>
    <w:rsid w:val="00506999"/>
    <w:rsid w:val="00506C68"/>
    <w:rsid w:val="005071C4"/>
    <w:rsid w:val="00507972"/>
    <w:rsid w:val="00511EF7"/>
    <w:rsid w:val="0051380F"/>
    <w:rsid w:val="00514438"/>
    <w:rsid w:val="00514AA0"/>
    <w:rsid w:val="00524104"/>
    <w:rsid w:val="00524D42"/>
    <w:rsid w:val="0053072C"/>
    <w:rsid w:val="00530EB1"/>
    <w:rsid w:val="00536689"/>
    <w:rsid w:val="00541AD5"/>
    <w:rsid w:val="00545C67"/>
    <w:rsid w:val="00546E2E"/>
    <w:rsid w:val="00550384"/>
    <w:rsid w:val="0055127F"/>
    <w:rsid w:val="00554415"/>
    <w:rsid w:val="005557DB"/>
    <w:rsid w:val="00556C53"/>
    <w:rsid w:val="00560102"/>
    <w:rsid w:val="00561847"/>
    <w:rsid w:val="00561AFB"/>
    <w:rsid w:val="00562414"/>
    <w:rsid w:val="00563557"/>
    <w:rsid w:val="0057005A"/>
    <w:rsid w:val="00570B1A"/>
    <w:rsid w:val="00572F61"/>
    <w:rsid w:val="00573DBF"/>
    <w:rsid w:val="00575258"/>
    <w:rsid w:val="00576631"/>
    <w:rsid w:val="00576B69"/>
    <w:rsid w:val="00583B20"/>
    <w:rsid w:val="00584838"/>
    <w:rsid w:val="00586C21"/>
    <w:rsid w:val="005879CC"/>
    <w:rsid w:val="00590125"/>
    <w:rsid w:val="00593C8E"/>
    <w:rsid w:val="00594521"/>
    <w:rsid w:val="0059618E"/>
    <w:rsid w:val="005977C1"/>
    <w:rsid w:val="005979D3"/>
    <w:rsid w:val="005A11DD"/>
    <w:rsid w:val="005A36AE"/>
    <w:rsid w:val="005A6536"/>
    <w:rsid w:val="005B1691"/>
    <w:rsid w:val="005B4E74"/>
    <w:rsid w:val="005B54EF"/>
    <w:rsid w:val="005B5951"/>
    <w:rsid w:val="005C3990"/>
    <w:rsid w:val="005C40FB"/>
    <w:rsid w:val="005C4926"/>
    <w:rsid w:val="005C57C6"/>
    <w:rsid w:val="005C5F8B"/>
    <w:rsid w:val="005D09FE"/>
    <w:rsid w:val="005D354A"/>
    <w:rsid w:val="005D394E"/>
    <w:rsid w:val="005D39FA"/>
    <w:rsid w:val="005D3FFE"/>
    <w:rsid w:val="005D41CB"/>
    <w:rsid w:val="005D45E6"/>
    <w:rsid w:val="005D4B65"/>
    <w:rsid w:val="005E1764"/>
    <w:rsid w:val="005E20ED"/>
    <w:rsid w:val="005E2E4D"/>
    <w:rsid w:val="005E3DC1"/>
    <w:rsid w:val="005E4EAA"/>
    <w:rsid w:val="005F13A2"/>
    <w:rsid w:val="005F1AFA"/>
    <w:rsid w:val="005F1B0E"/>
    <w:rsid w:val="005F5CE4"/>
    <w:rsid w:val="005F6237"/>
    <w:rsid w:val="00601CBD"/>
    <w:rsid w:val="00602FE2"/>
    <w:rsid w:val="006040C7"/>
    <w:rsid w:val="00604851"/>
    <w:rsid w:val="00606CA7"/>
    <w:rsid w:val="006110F8"/>
    <w:rsid w:val="00614E29"/>
    <w:rsid w:val="00616A6D"/>
    <w:rsid w:val="006175DC"/>
    <w:rsid w:val="00620639"/>
    <w:rsid w:val="006216EE"/>
    <w:rsid w:val="00621999"/>
    <w:rsid w:val="00621E6D"/>
    <w:rsid w:val="00625025"/>
    <w:rsid w:val="00627DBD"/>
    <w:rsid w:val="00630740"/>
    <w:rsid w:val="00630C76"/>
    <w:rsid w:val="00632F80"/>
    <w:rsid w:val="00641B66"/>
    <w:rsid w:val="00641D3E"/>
    <w:rsid w:val="006477C1"/>
    <w:rsid w:val="006506A8"/>
    <w:rsid w:val="00650EEA"/>
    <w:rsid w:val="0065135B"/>
    <w:rsid w:val="00652DC8"/>
    <w:rsid w:val="00654D48"/>
    <w:rsid w:val="00655E8D"/>
    <w:rsid w:val="00662D45"/>
    <w:rsid w:val="00664615"/>
    <w:rsid w:val="00670476"/>
    <w:rsid w:val="00672D78"/>
    <w:rsid w:val="0067316D"/>
    <w:rsid w:val="00673BC8"/>
    <w:rsid w:val="00674602"/>
    <w:rsid w:val="00674D1B"/>
    <w:rsid w:val="00676E7B"/>
    <w:rsid w:val="006770E4"/>
    <w:rsid w:val="00677B3B"/>
    <w:rsid w:val="006835E0"/>
    <w:rsid w:val="00685FF9"/>
    <w:rsid w:val="0068618C"/>
    <w:rsid w:val="00686DF7"/>
    <w:rsid w:val="00687C76"/>
    <w:rsid w:val="00691CCE"/>
    <w:rsid w:val="00692228"/>
    <w:rsid w:val="006922E4"/>
    <w:rsid w:val="00694763"/>
    <w:rsid w:val="00694EA5"/>
    <w:rsid w:val="006964F8"/>
    <w:rsid w:val="006A5A41"/>
    <w:rsid w:val="006A70E3"/>
    <w:rsid w:val="006B2C0C"/>
    <w:rsid w:val="006B4A26"/>
    <w:rsid w:val="006C1B99"/>
    <w:rsid w:val="006C1CF6"/>
    <w:rsid w:val="006C3B90"/>
    <w:rsid w:val="006C4563"/>
    <w:rsid w:val="006D16F0"/>
    <w:rsid w:val="006D2168"/>
    <w:rsid w:val="006D36CD"/>
    <w:rsid w:val="006D37EF"/>
    <w:rsid w:val="006D4DDB"/>
    <w:rsid w:val="006E55EC"/>
    <w:rsid w:val="006E684C"/>
    <w:rsid w:val="006E6F40"/>
    <w:rsid w:val="006F0B0A"/>
    <w:rsid w:val="006F0DF5"/>
    <w:rsid w:val="006F3188"/>
    <w:rsid w:val="006F5362"/>
    <w:rsid w:val="00700DA7"/>
    <w:rsid w:val="00701091"/>
    <w:rsid w:val="00703348"/>
    <w:rsid w:val="00706A5B"/>
    <w:rsid w:val="00710762"/>
    <w:rsid w:val="00717524"/>
    <w:rsid w:val="00720848"/>
    <w:rsid w:val="0072141F"/>
    <w:rsid w:val="00721F4E"/>
    <w:rsid w:val="0073367A"/>
    <w:rsid w:val="0073471D"/>
    <w:rsid w:val="00734F89"/>
    <w:rsid w:val="00737B62"/>
    <w:rsid w:val="0074136F"/>
    <w:rsid w:val="0074285F"/>
    <w:rsid w:val="00742C9E"/>
    <w:rsid w:val="00742FCE"/>
    <w:rsid w:val="00743ED6"/>
    <w:rsid w:val="00744980"/>
    <w:rsid w:val="00747414"/>
    <w:rsid w:val="00747B10"/>
    <w:rsid w:val="007501E0"/>
    <w:rsid w:val="00752D7A"/>
    <w:rsid w:val="0075364D"/>
    <w:rsid w:val="00754821"/>
    <w:rsid w:val="007548C5"/>
    <w:rsid w:val="007551F8"/>
    <w:rsid w:val="007569FE"/>
    <w:rsid w:val="00756E4A"/>
    <w:rsid w:val="007640AF"/>
    <w:rsid w:val="00764868"/>
    <w:rsid w:val="00770F28"/>
    <w:rsid w:val="00777904"/>
    <w:rsid w:val="00777A2D"/>
    <w:rsid w:val="00777D1F"/>
    <w:rsid w:val="00781B2B"/>
    <w:rsid w:val="00781C28"/>
    <w:rsid w:val="0078416F"/>
    <w:rsid w:val="00784922"/>
    <w:rsid w:val="00784B19"/>
    <w:rsid w:val="00786030"/>
    <w:rsid w:val="0078611B"/>
    <w:rsid w:val="00791649"/>
    <w:rsid w:val="0079173A"/>
    <w:rsid w:val="00791A34"/>
    <w:rsid w:val="00794511"/>
    <w:rsid w:val="00795107"/>
    <w:rsid w:val="00797A6E"/>
    <w:rsid w:val="007A19C0"/>
    <w:rsid w:val="007A255C"/>
    <w:rsid w:val="007A33BB"/>
    <w:rsid w:val="007A3F08"/>
    <w:rsid w:val="007A41BE"/>
    <w:rsid w:val="007A5C66"/>
    <w:rsid w:val="007A706C"/>
    <w:rsid w:val="007B070B"/>
    <w:rsid w:val="007B42F2"/>
    <w:rsid w:val="007B4E9E"/>
    <w:rsid w:val="007B621D"/>
    <w:rsid w:val="007B6C14"/>
    <w:rsid w:val="007C1B7C"/>
    <w:rsid w:val="007C1C35"/>
    <w:rsid w:val="007C4C98"/>
    <w:rsid w:val="007C5D74"/>
    <w:rsid w:val="007C6B9B"/>
    <w:rsid w:val="007C7248"/>
    <w:rsid w:val="007D06D0"/>
    <w:rsid w:val="007D1B44"/>
    <w:rsid w:val="007D5A71"/>
    <w:rsid w:val="007D6A51"/>
    <w:rsid w:val="007D6D9C"/>
    <w:rsid w:val="007D7377"/>
    <w:rsid w:val="007D7AA2"/>
    <w:rsid w:val="007E135B"/>
    <w:rsid w:val="007E260E"/>
    <w:rsid w:val="007E2709"/>
    <w:rsid w:val="007E2DAB"/>
    <w:rsid w:val="007E38E1"/>
    <w:rsid w:val="007E4F9D"/>
    <w:rsid w:val="007E61EB"/>
    <w:rsid w:val="007F118F"/>
    <w:rsid w:val="00801481"/>
    <w:rsid w:val="00801E64"/>
    <w:rsid w:val="0080354A"/>
    <w:rsid w:val="00805C69"/>
    <w:rsid w:val="00806012"/>
    <w:rsid w:val="00807005"/>
    <w:rsid w:val="00810723"/>
    <w:rsid w:val="008109FB"/>
    <w:rsid w:val="00811FB5"/>
    <w:rsid w:val="00812766"/>
    <w:rsid w:val="00821252"/>
    <w:rsid w:val="00822EA7"/>
    <w:rsid w:val="00823741"/>
    <w:rsid w:val="00824684"/>
    <w:rsid w:val="008249BF"/>
    <w:rsid w:val="008256E0"/>
    <w:rsid w:val="00826F5C"/>
    <w:rsid w:val="00827E50"/>
    <w:rsid w:val="0083516D"/>
    <w:rsid w:val="00836C2C"/>
    <w:rsid w:val="008371E7"/>
    <w:rsid w:val="00837B4E"/>
    <w:rsid w:val="0084008B"/>
    <w:rsid w:val="0084174A"/>
    <w:rsid w:val="00843160"/>
    <w:rsid w:val="00844C58"/>
    <w:rsid w:val="00850F4E"/>
    <w:rsid w:val="00851BDA"/>
    <w:rsid w:val="008521C9"/>
    <w:rsid w:val="00856BDC"/>
    <w:rsid w:val="0086245D"/>
    <w:rsid w:val="00863160"/>
    <w:rsid w:val="00865A6D"/>
    <w:rsid w:val="00866DAE"/>
    <w:rsid w:val="00875C88"/>
    <w:rsid w:val="008764D3"/>
    <w:rsid w:val="00886479"/>
    <w:rsid w:val="00891841"/>
    <w:rsid w:val="00891BA5"/>
    <w:rsid w:val="00891DF6"/>
    <w:rsid w:val="0089240F"/>
    <w:rsid w:val="00897826"/>
    <w:rsid w:val="008A15F7"/>
    <w:rsid w:val="008A40B6"/>
    <w:rsid w:val="008A4194"/>
    <w:rsid w:val="008A44EA"/>
    <w:rsid w:val="008A6051"/>
    <w:rsid w:val="008A72FB"/>
    <w:rsid w:val="008A7977"/>
    <w:rsid w:val="008B3DA5"/>
    <w:rsid w:val="008B5250"/>
    <w:rsid w:val="008C061B"/>
    <w:rsid w:val="008C2C65"/>
    <w:rsid w:val="008C3DFF"/>
    <w:rsid w:val="008C3FC5"/>
    <w:rsid w:val="008C58A2"/>
    <w:rsid w:val="008C6628"/>
    <w:rsid w:val="008C79AF"/>
    <w:rsid w:val="008D03A4"/>
    <w:rsid w:val="008D1770"/>
    <w:rsid w:val="008D307A"/>
    <w:rsid w:val="008D5B80"/>
    <w:rsid w:val="008D5C48"/>
    <w:rsid w:val="008D7740"/>
    <w:rsid w:val="008E0319"/>
    <w:rsid w:val="008E1414"/>
    <w:rsid w:val="008E35A8"/>
    <w:rsid w:val="008E451B"/>
    <w:rsid w:val="008E4690"/>
    <w:rsid w:val="008E521F"/>
    <w:rsid w:val="008E535C"/>
    <w:rsid w:val="008E7548"/>
    <w:rsid w:val="008E7683"/>
    <w:rsid w:val="008E7998"/>
    <w:rsid w:val="008F1333"/>
    <w:rsid w:val="008F1512"/>
    <w:rsid w:val="008F153C"/>
    <w:rsid w:val="008F40D7"/>
    <w:rsid w:val="008F483A"/>
    <w:rsid w:val="008F4879"/>
    <w:rsid w:val="008F561B"/>
    <w:rsid w:val="008F59D9"/>
    <w:rsid w:val="009003C4"/>
    <w:rsid w:val="00900ADC"/>
    <w:rsid w:val="00900D6A"/>
    <w:rsid w:val="00903D0A"/>
    <w:rsid w:val="00904B32"/>
    <w:rsid w:val="00906EB4"/>
    <w:rsid w:val="00907ECD"/>
    <w:rsid w:val="00910DFA"/>
    <w:rsid w:val="0091111E"/>
    <w:rsid w:val="0091289B"/>
    <w:rsid w:val="00914AFC"/>
    <w:rsid w:val="00915139"/>
    <w:rsid w:val="0091542C"/>
    <w:rsid w:val="00915D58"/>
    <w:rsid w:val="00915F10"/>
    <w:rsid w:val="00916A95"/>
    <w:rsid w:val="009222F3"/>
    <w:rsid w:val="009244B8"/>
    <w:rsid w:val="00926F9F"/>
    <w:rsid w:val="00927D8B"/>
    <w:rsid w:val="00934BC8"/>
    <w:rsid w:val="00935680"/>
    <w:rsid w:val="00935B97"/>
    <w:rsid w:val="00935BDF"/>
    <w:rsid w:val="00936331"/>
    <w:rsid w:val="00936CA0"/>
    <w:rsid w:val="009370A6"/>
    <w:rsid w:val="00937F3B"/>
    <w:rsid w:val="009402D5"/>
    <w:rsid w:val="009428BB"/>
    <w:rsid w:val="00942BC2"/>
    <w:rsid w:val="00944A3E"/>
    <w:rsid w:val="00945B1A"/>
    <w:rsid w:val="00946121"/>
    <w:rsid w:val="0094668F"/>
    <w:rsid w:val="00946D05"/>
    <w:rsid w:val="00947023"/>
    <w:rsid w:val="00947BD1"/>
    <w:rsid w:val="00950FFA"/>
    <w:rsid w:val="0095237B"/>
    <w:rsid w:val="0095479C"/>
    <w:rsid w:val="00956926"/>
    <w:rsid w:val="00956C8A"/>
    <w:rsid w:val="009570B2"/>
    <w:rsid w:val="009575BF"/>
    <w:rsid w:val="009628CB"/>
    <w:rsid w:val="00966758"/>
    <w:rsid w:val="00972F11"/>
    <w:rsid w:val="00975431"/>
    <w:rsid w:val="0097553E"/>
    <w:rsid w:val="00976E18"/>
    <w:rsid w:val="00976FA6"/>
    <w:rsid w:val="009772D5"/>
    <w:rsid w:val="00977F66"/>
    <w:rsid w:val="009804D3"/>
    <w:rsid w:val="00981764"/>
    <w:rsid w:val="00981DA0"/>
    <w:rsid w:val="00983C21"/>
    <w:rsid w:val="009872FF"/>
    <w:rsid w:val="009925CC"/>
    <w:rsid w:val="00993734"/>
    <w:rsid w:val="0099405A"/>
    <w:rsid w:val="009963A9"/>
    <w:rsid w:val="009A005C"/>
    <w:rsid w:val="009A101B"/>
    <w:rsid w:val="009A1724"/>
    <w:rsid w:val="009A26FC"/>
    <w:rsid w:val="009A31EE"/>
    <w:rsid w:val="009A3677"/>
    <w:rsid w:val="009A3D71"/>
    <w:rsid w:val="009A4114"/>
    <w:rsid w:val="009A5C0A"/>
    <w:rsid w:val="009B4243"/>
    <w:rsid w:val="009B570F"/>
    <w:rsid w:val="009B72DF"/>
    <w:rsid w:val="009B7DF2"/>
    <w:rsid w:val="009C0FBF"/>
    <w:rsid w:val="009C49E1"/>
    <w:rsid w:val="009C54B7"/>
    <w:rsid w:val="009C5E29"/>
    <w:rsid w:val="009C67BB"/>
    <w:rsid w:val="009C7C9E"/>
    <w:rsid w:val="009C7D6E"/>
    <w:rsid w:val="009D2712"/>
    <w:rsid w:val="009D55D6"/>
    <w:rsid w:val="009D603C"/>
    <w:rsid w:val="009D604F"/>
    <w:rsid w:val="009D7590"/>
    <w:rsid w:val="009E09B1"/>
    <w:rsid w:val="009E130C"/>
    <w:rsid w:val="009E1C0E"/>
    <w:rsid w:val="009F0105"/>
    <w:rsid w:val="009F20C2"/>
    <w:rsid w:val="009F425A"/>
    <w:rsid w:val="009F50E9"/>
    <w:rsid w:val="00A0056B"/>
    <w:rsid w:val="00A01475"/>
    <w:rsid w:val="00A026F5"/>
    <w:rsid w:val="00A027A6"/>
    <w:rsid w:val="00A0395D"/>
    <w:rsid w:val="00A05906"/>
    <w:rsid w:val="00A07C2B"/>
    <w:rsid w:val="00A07D29"/>
    <w:rsid w:val="00A107E5"/>
    <w:rsid w:val="00A11473"/>
    <w:rsid w:val="00A124AF"/>
    <w:rsid w:val="00A12E16"/>
    <w:rsid w:val="00A16ADC"/>
    <w:rsid w:val="00A1781D"/>
    <w:rsid w:val="00A2003B"/>
    <w:rsid w:val="00A25003"/>
    <w:rsid w:val="00A25D44"/>
    <w:rsid w:val="00A31E0E"/>
    <w:rsid w:val="00A369D0"/>
    <w:rsid w:val="00A36A44"/>
    <w:rsid w:val="00A40AB0"/>
    <w:rsid w:val="00A43131"/>
    <w:rsid w:val="00A446DD"/>
    <w:rsid w:val="00A4525A"/>
    <w:rsid w:val="00A47F59"/>
    <w:rsid w:val="00A508CC"/>
    <w:rsid w:val="00A516C0"/>
    <w:rsid w:val="00A53003"/>
    <w:rsid w:val="00A533F3"/>
    <w:rsid w:val="00A54559"/>
    <w:rsid w:val="00A5613F"/>
    <w:rsid w:val="00A5770C"/>
    <w:rsid w:val="00A60481"/>
    <w:rsid w:val="00A61212"/>
    <w:rsid w:val="00A614CC"/>
    <w:rsid w:val="00A61B78"/>
    <w:rsid w:val="00A633B9"/>
    <w:rsid w:val="00A71515"/>
    <w:rsid w:val="00A74224"/>
    <w:rsid w:val="00A74EBD"/>
    <w:rsid w:val="00A839A3"/>
    <w:rsid w:val="00A84233"/>
    <w:rsid w:val="00A846CF"/>
    <w:rsid w:val="00A84F29"/>
    <w:rsid w:val="00A86378"/>
    <w:rsid w:val="00A911EE"/>
    <w:rsid w:val="00A9224F"/>
    <w:rsid w:val="00A943BE"/>
    <w:rsid w:val="00A96974"/>
    <w:rsid w:val="00A97D95"/>
    <w:rsid w:val="00AA1DB3"/>
    <w:rsid w:val="00AA2A6B"/>
    <w:rsid w:val="00AA38EF"/>
    <w:rsid w:val="00AA5AB9"/>
    <w:rsid w:val="00AA78B0"/>
    <w:rsid w:val="00AB14D6"/>
    <w:rsid w:val="00AB333F"/>
    <w:rsid w:val="00AB4F98"/>
    <w:rsid w:val="00AB6811"/>
    <w:rsid w:val="00AB6EB7"/>
    <w:rsid w:val="00AB7057"/>
    <w:rsid w:val="00AB7EFA"/>
    <w:rsid w:val="00AC1B39"/>
    <w:rsid w:val="00AC3288"/>
    <w:rsid w:val="00AC72FF"/>
    <w:rsid w:val="00AC7315"/>
    <w:rsid w:val="00AC7DDA"/>
    <w:rsid w:val="00AD0A1F"/>
    <w:rsid w:val="00AD1230"/>
    <w:rsid w:val="00AD1382"/>
    <w:rsid w:val="00AD2E99"/>
    <w:rsid w:val="00AD3FD8"/>
    <w:rsid w:val="00AD53B9"/>
    <w:rsid w:val="00AD5BFF"/>
    <w:rsid w:val="00AD7131"/>
    <w:rsid w:val="00AE0947"/>
    <w:rsid w:val="00AE517D"/>
    <w:rsid w:val="00AE56DC"/>
    <w:rsid w:val="00AE5E3D"/>
    <w:rsid w:val="00AE60CA"/>
    <w:rsid w:val="00AF1482"/>
    <w:rsid w:val="00AF193D"/>
    <w:rsid w:val="00AF1EE6"/>
    <w:rsid w:val="00AF20FA"/>
    <w:rsid w:val="00AF2374"/>
    <w:rsid w:val="00AF3D21"/>
    <w:rsid w:val="00AF3F97"/>
    <w:rsid w:val="00AF440E"/>
    <w:rsid w:val="00AF61CF"/>
    <w:rsid w:val="00AF7392"/>
    <w:rsid w:val="00B00D04"/>
    <w:rsid w:val="00B00DE0"/>
    <w:rsid w:val="00B0144B"/>
    <w:rsid w:val="00B04BAA"/>
    <w:rsid w:val="00B0700F"/>
    <w:rsid w:val="00B11FCA"/>
    <w:rsid w:val="00B1205A"/>
    <w:rsid w:val="00B1244E"/>
    <w:rsid w:val="00B1391C"/>
    <w:rsid w:val="00B1491E"/>
    <w:rsid w:val="00B14A6D"/>
    <w:rsid w:val="00B16C76"/>
    <w:rsid w:val="00B1725B"/>
    <w:rsid w:val="00B174B9"/>
    <w:rsid w:val="00B31EF9"/>
    <w:rsid w:val="00B32660"/>
    <w:rsid w:val="00B35931"/>
    <w:rsid w:val="00B35BDD"/>
    <w:rsid w:val="00B41257"/>
    <w:rsid w:val="00B42D10"/>
    <w:rsid w:val="00B45926"/>
    <w:rsid w:val="00B46ABB"/>
    <w:rsid w:val="00B46E00"/>
    <w:rsid w:val="00B4747F"/>
    <w:rsid w:val="00B50AE3"/>
    <w:rsid w:val="00B50FBA"/>
    <w:rsid w:val="00B51400"/>
    <w:rsid w:val="00B52F52"/>
    <w:rsid w:val="00B532EE"/>
    <w:rsid w:val="00B54C36"/>
    <w:rsid w:val="00B54D83"/>
    <w:rsid w:val="00B60C6C"/>
    <w:rsid w:val="00B61C95"/>
    <w:rsid w:val="00B650F0"/>
    <w:rsid w:val="00B719DE"/>
    <w:rsid w:val="00B7260A"/>
    <w:rsid w:val="00B75326"/>
    <w:rsid w:val="00B75815"/>
    <w:rsid w:val="00B76B88"/>
    <w:rsid w:val="00B76E25"/>
    <w:rsid w:val="00B773BD"/>
    <w:rsid w:val="00B77DCA"/>
    <w:rsid w:val="00B80C04"/>
    <w:rsid w:val="00B81CA3"/>
    <w:rsid w:val="00B82AD6"/>
    <w:rsid w:val="00B83090"/>
    <w:rsid w:val="00B83F41"/>
    <w:rsid w:val="00B84EE4"/>
    <w:rsid w:val="00B9029E"/>
    <w:rsid w:val="00B90BC9"/>
    <w:rsid w:val="00B927CF"/>
    <w:rsid w:val="00B93CD1"/>
    <w:rsid w:val="00B94B5D"/>
    <w:rsid w:val="00B95E09"/>
    <w:rsid w:val="00BA0816"/>
    <w:rsid w:val="00BA1553"/>
    <w:rsid w:val="00BA2120"/>
    <w:rsid w:val="00BA29B7"/>
    <w:rsid w:val="00BA387F"/>
    <w:rsid w:val="00BA3E00"/>
    <w:rsid w:val="00BA481A"/>
    <w:rsid w:val="00BA5648"/>
    <w:rsid w:val="00BB2811"/>
    <w:rsid w:val="00BB4C26"/>
    <w:rsid w:val="00BB4C8F"/>
    <w:rsid w:val="00BC0427"/>
    <w:rsid w:val="00BC1463"/>
    <w:rsid w:val="00BC33AC"/>
    <w:rsid w:val="00BC3EC1"/>
    <w:rsid w:val="00BC67AE"/>
    <w:rsid w:val="00BC6863"/>
    <w:rsid w:val="00BC6ED8"/>
    <w:rsid w:val="00BC711A"/>
    <w:rsid w:val="00BC781D"/>
    <w:rsid w:val="00BD1954"/>
    <w:rsid w:val="00BD1DEA"/>
    <w:rsid w:val="00BD2623"/>
    <w:rsid w:val="00BD7D19"/>
    <w:rsid w:val="00BE3F00"/>
    <w:rsid w:val="00BE6E69"/>
    <w:rsid w:val="00BF1C1A"/>
    <w:rsid w:val="00BF1DF5"/>
    <w:rsid w:val="00BF7F63"/>
    <w:rsid w:val="00C01A62"/>
    <w:rsid w:val="00C022B9"/>
    <w:rsid w:val="00C04F98"/>
    <w:rsid w:val="00C06379"/>
    <w:rsid w:val="00C070FD"/>
    <w:rsid w:val="00C07367"/>
    <w:rsid w:val="00C0799A"/>
    <w:rsid w:val="00C103A2"/>
    <w:rsid w:val="00C10D53"/>
    <w:rsid w:val="00C14AF4"/>
    <w:rsid w:val="00C1534D"/>
    <w:rsid w:val="00C16256"/>
    <w:rsid w:val="00C16504"/>
    <w:rsid w:val="00C16825"/>
    <w:rsid w:val="00C20147"/>
    <w:rsid w:val="00C201B0"/>
    <w:rsid w:val="00C204AE"/>
    <w:rsid w:val="00C2114C"/>
    <w:rsid w:val="00C2489F"/>
    <w:rsid w:val="00C25464"/>
    <w:rsid w:val="00C27020"/>
    <w:rsid w:val="00C30900"/>
    <w:rsid w:val="00C333E8"/>
    <w:rsid w:val="00C344D2"/>
    <w:rsid w:val="00C35BA3"/>
    <w:rsid w:val="00C35CAD"/>
    <w:rsid w:val="00C374FD"/>
    <w:rsid w:val="00C421EC"/>
    <w:rsid w:val="00C42698"/>
    <w:rsid w:val="00C46483"/>
    <w:rsid w:val="00C46C0A"/>
    <w:rsid w:val="00C47F87"/>
    <w:rsid w:val="00C51427"/>
    <w:rsid w:val="00C51724"/>
    <w:rsid w:val="00C52CB6"/>
    <w:rsid w:val="00C549B1"/>
    <w:rsid w:val="00C556F8"/>
    <w:rsid w:val="00C56F7D"/>
    <w:rsid w:val="00C56FFC"/>
    <w:rsid w:val="00C57AC0"/>
    <w:rsid w:val="00C60109"/>
    <w:rsid w:val="00C61665"/>
    <w:rsid w:val="00C63CF6"/>
    <w:rsid w:val="00C64E2A"/>
    <w:rsid w:val="00C6704F"/>
    <w:rsid w:val="00C7127F"/>
    <w:rsid w:val="00C7703E"/>
    <w:rsid w:val="00C8038E"/>
    <w:rsid w:val="00C80C86"/>
    <w:rsid w:val="00C80F67"/>
    <w:rsid w:val="00C81593"/>
    <w:rsid w:val="00C850D0"/>
    <w:rsid w:val="00C8568A"/>
    <w:rsid w:val="00C87ED5"/>
    <w:rsid w:val="00C87F00"/>
    <w:rsid w:val="00C90384"/>
    <w:rsid w:val="00C90F2F"/>
    <w:rsid w:val="00C90FBE"/>
    <w:rsid w:val="00C93C17"/>
    <w:rsid w:val="00C95370"/>
    <w:rsid w:val="00C967C1"/>
    <w:rsid w:val="00C97583"/>
    <w:rsid w:val="00CA0CF4"/>
    <w:rsid w:val="00CA3E0A"/>
    <w:rsid w:val="00CA406F"/>
    <w:rsid w:val="00CA4287"/>
    <w:rsid w:val="00CA5EF1"/>
    <w:rsid w:val="00CA639B"/>
    <w:rsid w:val="00CB19AC"/>
    <w:rsid w:val="00CB6006"/>
    <w:rsid w:val="00CB60C2"/>
    <w:rsid w:val="00CB67B0"/>
    <w:rsid w:val="00CB7AEF"/>
    <w:rsid w:val="00CC03F2"/>
    <w:rsid w:val="00CC0962"/>
    <w:rsid w:val="00CC0AFD"/>
    <w:rsid w:val="00CC16F4"/>
    <w:rsid w:val="00CC2621"/>
    <w:rsid w:val="00CC2EF2"/>
    <w:rsid w:val="00CC3A9C"/>
    <w:rsid w:val="00CC75BE"/>
    <w:rsid w:val="00CD19AC"/>
    <w:rsid w:val="00CD2950"/>
    <w:rsid w:val="00CD3091"/>
    <w:rsid w:val="00CD39DF"/>
    <w:rsid w:val="00CD42C4"/>
    <w:rsid w:val="00CD775D"/>
    <w:rsid w:val="00CE3A55"/>
    <w:rsid w:val="00CE4768"/>
    <w:rsid w:val="00CF3D76"/>
    <w:rsid w:val="00CF3FC7"/>
    <w:rsid w:val="00D04179"/>
    <w:rsid w:val="00D06155"/>
    <w:rsid w:val="00D07F39"/>
    <w:rsid w:val="00D121E4"/>
    <w:rsid w:val="00D149B7"/>
    <w:rsid w:val="00D14D9F"/>
    <w:rsid w:val="00D17EE2"/>
    <w:rsid w:val="00D216D4"/>
    <w:rsid w:val="00D23C51"/>
    <w:rsid w:val="00D2620B"/>
    <w:rsid w:val="00D2700B"/>
    <w:rsid w:val="00D3010E"/>
    <w:rsid w:val="00D305EB"/>
    <w:rsid w:val="00D30D99"/>
    <w:rsid w:val="00D33A30"/>
    <w:rsid w:val="00D36FC9"/>
    <w:rsid w:val="00D42A86"/>
    <w:rsid w:val="00D42B22"/>
    <w:rsid w:val="00D457EF"/>
    <w:rsid w:val="00D46174"/>
    <w:rsid w:val="00D47E82"/>
    <w:rsid w:val="00D50750"/>
    <w:rsid w:val="00D56321"/>
    <w:rsid w:val="00D5750B"/>
    <w:rsid w:val="00D63685"/>
    <w:rsid w:val="00D67448"/>
    <w:rsid w:val="00D6797C"/>
    <w:rsid w:val="00D67AF6"/>
    <w:rsid w:val="00D7098F"/>
    <w:rsid w:val="00D72118"/>
    <w:rsid w:val="00D74999"/>
    <w:rsid w:val="00D75D0E"/>
    <w:rsid w:val="00D76742"/>
    <w:rsid w:val="00D8635F"/>
    <w:rsid w:val="00D86B7F"/>
    <w:rsid w:val="00D879CB"/>
    <w:rsid w:val="00D9022A"/>
    <w:rsid w:val="00D91C8A"/>
    <w:rsid w:val="00D93C97"/>
    <w:rsid w:val="00D955BD"/>
    <w:rsid w:val="00D958C6"/>
    <w:rsid w:val="00D977D5"/>
    <w:rsid w:val="00DA18FC"/>
    <w:rsid w:val="00DA4BE8"/>
    <w:rsid w:val="00DB0090"/>
    <w:rsid w:val="00DB01BC"/>
    <w:rsid w:val="00DB1166"/>
    <w:rsid w:val="00DB3538"/>
    <w:rsid w:val="00DB3DDD"/>
    <w:rsid w:val="00DB4BFC"/>
    <w:rsid w:val="00DB55FB"/>
    <w:rsid w:val="00DB5A5E"/>
    <w:rsid w:val="00DB69B0"/>
    <w:rsid w:val="00DC360B"/>
    <w:rsid w:val="00DC3ADD"/>
    <w:rsid w:val="00DC5239"/>
    <w:rsid w:val="00DC5C30"/>
    <w:rsid w:val="00DC7129"/>
    <w:rsid w:val="00DD06EB"/>
    <w:rsid w:val="00DD24C3"/>
    <w:rsid w:val="00DD25CD"/>
    <w:rsid w:val="00DD3AE5"/>
    <w:rsid w:val="00DD5E8D"/>
    <w:rsid w:val="00DD6C0E"/>
    <w:rsid w:val="00DD7123"/>
    <w:rsid w:val="00DE0B7E"/>
    <w:rsid w:val="00DE1329"/>
    <w:rsid w:val="00DE42B9"/>
    <w:rsid w:val="00DE4621"/>
    <w:rsid w:val="00DE53E3"/>
    <w:rsid w:val="00DF3B38"/>
    <w:rsid w:val="00DF61F4"/>
    <w:rsid w:val="00DF6433"/>
    <w:rsid w:val="00DF7430"/>
    <w:rsid w:val="00DF776C"/>
    <w:rsid w:val="00E006D9"/>
    <w:rsid w:val="00E021D5"/>
    <w:rsid w:val="00E07006"/>
    <w:rsid w:val="00E074FA"/>
    <w:rsid w:val="00E07CDF"/>
    <w:rsid w:val="00E10596"/>
    <w:rsid w:val="00E11299"/>
    <w:rsid w:val="00E112D7"/>
    <w:rsid w:val="00E11F5B"/>
    <w:rsid w:val="00E12E7D"/>
    <w:rsid w:val="00E17FAB"/>
    <w:rsid w:val="00E23681"/>
    <w:rsid w:val="00E25210"/>
    <w:rsid w:val="00E30A99"/>
    <w:rsid w:val="00E30D99"/>
    <w:rsid w:val="00E30EDE"/>
    <w:rsid w:val="00E311F1"/>
    <w:rsid w:val="00E318ED"/>
    <w:rsid w:val="00E326E6"/>
    <w:rsid w:val="00E32CD5"/>
    <w:rsid w:val="00E3328F"/>
    <w:rsid w:val="00E33571"/>
    <w:rsid w:val="00E35ADA"/>
    <w:rsid w:val="00E35CB2"/>
    <w:rsid w:val="00E409D3"/>
    <w:rsid w:val="00E42294"/>
    <w:rsid w:val="00E42D95"/>
    <w:rsid w:val="00E44906"/>
    <w:rsid w:val="00E45FCF"/>
    <w:rsid w:val="00E465B8"/>
    <w:rsid w:val="00E50F1A"/>
    <w:rsid w:val="00E524C1"/>
    <w:rsid w:val="00E52E94"/>
    <w:rsid w:val="00E538CB"/>
    <w:rsid w:val="00E53DFB"/>
    <w:rsid w:val="00E56788"/>
    <w:rsid w:val="00E636AE"/>
    <w:rsid w:val="00E63E39"/>
    <w:rsid w:val="00E64832"/>
    <w:rsid w:val="00E7050A"/>
    <w:rsid w:val="00E71CAB"/>
    <w:rsid w:val="00E7276C"/>
    <w:rsid w:val="00E74EFB"/>
    <w:rsid w:val="00E7510E"/>
    <w:rsid w:val="00E85A7E"/>
    <w:rsid w:val="00E85B0E"/>
    <w:rsid w:val="00E90065"/>
    <w:rsid w:val="00E90E81"/>
    <w:rsid w:val="00E94EA7"/>
    <w:rsid w:val="00E95CC6"/>
    <w:rsid w:val="00E97AE9"/>
    <w:rsid w:val="00E97E03"/>
    <w:rsid w:val="00EA1314"/>
    <w:rsid w:val="00EA427C"/>
    <w:rsid w:val="00EB01FF"/>
    <w:rsid w:val="00EB142A"/>
    <w:rsid w:val="00EB6019"/>
    <w:rsid w:val="00EC09A5"/>
    <w:rsid w:val="00EC159D"/>
    <w:rsid w:val="00EC374F"/>
    <w:rsid w:val="00EC5F0C"/>
    <w:rsid w:val="00ED27EB"/>
    <w:rsid w:val="00ED3C4B"/>
    <w:rsid w:val="00ED3D08"/>
    <w:rsid w:val="00ED45A9"/>
    <w:rsid w:val="00ED4609"/>
    <w:rsid w:val="00EE2438"/>
    <w:rsid w:val="00EE27A9"/>
    <w:rsid w:val="00EE3003"/>
    <w:rsid w:val="00EE34F1"/>
    <w:rsid w:val="00EE5622"/>
    <w:rsid w:val="00EE6232"/>
    <w:rsid w:val="00EE6503"/>
    <w:rsid w:val="00EF11F9"/>
    <w:rsid w:val="00EF1424"/>
    <w:rsid w:val="00EF176A"/>
    <w:rsid w:val="00EF1D69"/>
    <w:rsid w:val="00EF5F41"/>
    <w:rsid w:val="00EF6117"/>
    <w:rsid w:val="00F0092F"/>
    <w:rsid w:val="00F01F48"/>
    <w:rsid w:val="00F026C3"/>
    <w:rsid w:val="00F04406"/>
    <w:rsid w:val="00F069CB"/>
    <w:rsid w:val="00F10396"/>
    <w:rsid w:val="00F1180E"/>
    <w:rsid w:val="00F1216A"/>
    <w:rsid w:val="00F13697"/>
    <w:rsid w:val="00F17EC3"/>
    <w:rsid w:val="00F205C6"/>
    <w:rsid w:val="00F20ABA"/>
    <w:rsid w:val="00F21FBE"/>
    <w:rsid w:val="00F22426"/>
    <w:rsid w:val="00F244EF"/>
    <w:rsid w:val="00F26CA8"/>
    <w:rsid w:val="00F312C3"/>
    <w:rsid w:val="00F32FDC"/>
    <w:rsid w:val="00F3794F"/>
    <w:rsid w:val="00F3796C"/>
    <w:rsid w:val="00F37BB5"/>
    <w:rsid w:val="00F406AB"/>
    <w:rsid w:val="00F4087E"/>
    <w:rsid w:val="00F428D3"/>
    <w:rsid w:val="00F42BAA"/>
    <w:rsid w:val="00F43999"/>
    <w:rsid w:val="00F44929"/>
    <w:rsid w:val="00F457A3"/>
    <w:rsid w:val="00F4585F"/>
    <w:rsid w:val="00F4598D"/>
    <w:rsid w:val="00F45B7E"/>
    <w:rsid w:val="00F4774F"/>
    <w:rsid w:val="00F500C7"/>
    <w:rsid w:val="00F50271"/>
    <w:rsid w:val="00F519CF"/>
    <w:rsid w:val="00F56FA3"/>
    <w:rsid w:val="00F57F31"/>
    <w:rsid w:val="00F61379"/>
    <w:rsid w:val="00F61F64"/>
    <w:rsid w:val="00F664BF"/>
    <w:rsid w:val="00F67BD9"/>
    <w:rsid w:val="00F70E87"/>
    <w:rsid w:val="00F71C4F"/>
    <w:rsid w:val="00F7249A"/>
    <w:rsid w:val="00F730DF"/>
    <w:rsid w:val="00F731E8"/>
    <w:rsid w:val="00F74F8C"/>
    <w:rsid w:val="00F75863"/>
    <w:rsid w:val="00F764F2"/>
    <w:rsid w:val="00F77D17"/>
    <w:rsid w:val="00F77D24"/>
    <w:rsid w:val="00F8178A"/>
    <w:rsid w:val="00F82853"/>
    <w:rsid w:val="00F82C89"/>
    <w:rsid w:val="00F83780"/>
    <w:rsid w:val="00F844E1"/>
    <w:rsid w:val="00F84CAC"/>
    <w:rsid w:val="00F85ED4"/>
    <w:rsid w:val="00F90F65"/>
    <w:rsid w:val="00F9155C"/>
    <w:rsid w:val="00F95194"/>
    <w:rsid w:val="00F9623E"/>
    <w:rsid w:val="00FA0A88"/>
    <w:rsid w:val="00FA109A"/>
    <w:rsid w:val="00FA173B"/>
    <w:rsid w:val="00FA2C0C"/>
    <w:rsid w:val="00FA31D1"/>
    <w:rsid w:val="00FA6919"/>
    <w:rsid w:val="00FB0367"/>
    <w:rsid w:val="00FB0556"/>
    <w:rsid w:val="00FB0DA6"/>
    <w:rsid w:val="00FB1042"/>
    <w:rsid w:val="00FB2D75"/>
    <w:rsid w:val="00FB427F"/>
    <w:rsid w:val="00FC1180"/>
    <w:rsid w:val="00FC3A46"/>
    <w:rsid w:val="00FC51A0"/>
    <w:rsid w:val="00FC5489"/>
    <w:rsid w:val="00FC64EB"/>
    <w:rsid w:val="00FC74A2"/>
    <w:rsid w:val="00FC7C0A"/>
    <w:rsid w:val="00FD2822"/>
    <w:rsid w:val="00FD3708"/>
    <w:rsid w:val="00FD49B7"/>
    <w:rsid w:val="00FD5B9C"/>
    <w:rsid w:val="00FD608B"/>
    <w:rsid w:val="00FD6995"/>
    <w:rsid w:val="00FD738D"/>
    <w:rsid w:val="00FE09F1"/>
    <w:rsid w:val="00FE39C3"/>
    <w:rsid w:val="00FE41D6"/>
    <w:rsid w:val="00FE51EB"/>
    <w:rsid w:val="00FE690A"/>
    <w:rsid w:val="00FF3408"/>
    <w:rsid w:val="00FF4D14"/>
    <w:rsid w:val="00FF6AEA"/>
    <w:rsid w:val="00FF6F7E"/>
    <w:rsid w:val="2748EF3C"/>
    <w:rsid w:val="496E9068"/>
    <w:rsid w:val="4BC923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DA2D8D8"/>
  <w15:docId w15:val="{764FF6CB-3347-4EFE-91D5-77C9A2D7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rPr>
  </w:style>
  <w:style w:type="paragraph" w:customStyle="1" w:styleId="Normal-PRsubhead">
    <w:name w:val="Normal-PR subhead"/>
    <w:basedOn w:val="Normal"/>
    <w:next w:val="Normal"/>
    <w:autoRedefine/>
    <w:qFormat/>
    <w:rsid w:val="00A74224"/>
    <w:pPr>
      <w:keepLines/>
      <w:widowControl w:val="0"/>
      <w:tabs>
        <w:tab w:val="left" w:pos="113"/>
      </w:tabs>
    </w:pPr>
    <w:rPr>
      <w:rFonts w:eastAsia="Calibri" w:cstheme="minorHAnsi"/>
      <w:sz w:val="20"/>
      <w:szCs w:val="20"/>
    </w:rPr>
  </w:style>
  <w:style w:type="character" w:styleId="CommentReference">
    <w:name w:val="annotation reference"/>
    <w:basedOn w:val="DefaultParagraphFont"/>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eastAsia="zh-CN"/>
    </w:rPr>
  </w:style>
  <w:style w:type="character" w:customStyle="1" w:styleId="MainTextChar">
    <w:name w:val="MainText Char"/>
    <w:link w:val="MainText"/>
    <w:rsid w:val="00AE0947"/>
    <w:rPr>
      <w:rFonts w:ascii="Arial" w:eastAsia="Times New Roman" w:hAnsi="Arial" w:cs="Arial"/>
      <w:sz w:val="20"/>
      <w:lang w:val="fr-FR" w:eastAsia="zh-CN"/>
    </w:rPr>
  </w:style>
  <w:style w:type="paragraph" w:customStyle="1" w:styleId="Bullettable">
    <w:name w:val="Bullet table"/>
    <w:basedOn w:val="Normal"/>
    <w:autoRedefine/>
    <w:qFormat/>
    <w:rsid w:val="00BA5648"/>
    <w:pPr>
      <w:suppressAutoHyphens/>
      <w:jc w:val="both"/>
    </w:pPr>
    <w:rPr>
      <w:rFonts w:eastAsia="Calibri" w:cstheme="minorHAnsi"/>
      <w:i/>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fr-FR"/>
    </w:rPr>
  </w:style>
  <w:style w:type="character" w:customStyle="1" w:styleId="Heading4Char">
    <w:name w:val="Heading 4 Char"/>
    <w:basedOn w:val="DefaultParagraphFont"/>
    <w:link w:val="Heading4"/>
    <w:rsid w:val="00316E2F"/>
    <w:rPr>
      <w:rFonts w:cs="ITC Franklin Gothic Std Med"/>
      <w:b/>
      <w:i/>
      <w:color w:val="00B050"/>
      <w:szCs w:val="24"/>
      <w:lang w:val="fr-FR"/>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fr-FR"/>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2788">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056271181">
      <w:bodyDiv w:val="1"/>
      <w:marLeft w:val="0"/>
      <w:marRight w:val="0"/>
      <w:marTop w:val="0"/>
      <w:marBottom w:val="0"/>
      <w:divBdr>
        <w:top w:val="none" w:sz="0" w:space="0" w:color="auto"/>
        <w:left w:val="none" w:sz="0" w:space="0" w:color="auto"/>
        <w:bottom w:val="none" w:sz="0" w:space="0" w:color="auto"/>
        <w:right w:val="none" w:sz="0" w:space="0" w:color="auto"/>
      </w:divBdr>
    </w:div>
    <w:div w:id="18934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2454922b54679934e80fd6e103b916a9">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b7bcf3077b42deeb0940cba422a2edbc"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A1D76D9D-8F52-4F50-AD19-EE620B87EFBD}">
  <ds:schemaRefs>
    <ds:schemaRef ds:uri="http://schemas.openxmlformats.org/officeDocument/2006/bibliography"/>
  </ds:schemaRefs>
</ds:datastoreItem>
</file>

<file path=customXml/itemProps3.xml><?xml version="1.0" encoding="utf-8"?>
<ds:datastoreItem xmlns:ds="http://schemas.openxmlformats.org/officeDocument/2006/customXml" ds:itemID="{4F24DD32-D098-4799-BDED-55072E10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F2C87-A10B-47A7-96D8-798CB9CD3502}">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fddef6a8-5936-4909-96e0-2ad7a6b1720b"/>
    <ds:schemaRef ds:uri="0c867391-8214-4b58-86b3-de07547409f9"/>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4838</Words>
  <Characters>27580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Isabelle Kayser</dc:creator>
  <cp:lastModifiedBy>Safaa Bahije</cp:lastModifiedBy>
  <cp:revision>4</cp:revision>
  <cp:lastPrinted>2020-09-22T16:42:00Z</cp:lastPrinted>
  <dcterms:created xsi:type="dcterms:W3CDTF">2022-02-28T08:52:00Z</dcterms:created>
  <dcterms:modified xsi:type="dcterms:W3CDTF">2022-02-28T08:57:00Z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