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212A" w14:textId="56CF5E9F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bookmarkStart w:id="0" w:name="_GoBack"/>
      <w:bookmarkEnd w:id="0"/>
      <w:r w:rsidRPr="005D4408">
        <w:rPr>
          <w:rFonts w:ascii="Arial" w:hAnsi="Arial" w:cs="Times New Roman"/>
          <w:color w:val="222222"/>
        </w:rPr>
        <w:t>Organis</w:t>
      </w:r>
      <w:r>
        <w:rPr>
          <w:rFonts w:ascii="Arial" w:hAnsi="Arial" w:cs="Times New Roman"/>
          <w:color w:val="222222"/>
        </w:rPr>
        <w:t>ation</w:t>
      </w:r>
      <w:r w:rsidRPr="005D4408">
        <w:rPr>
          <w:rFonts w:ascii="Arial" w:hAnsi="Arial" w:cs="Times New Roman"/>
          <w:color w:val="222222"/>
        </w:rPr>
        <w:t xml:space="preserve"> </w:t>
      </w:r>
      <w:r>
        <w:rPr>
          <w:rFonts w:ascii="Arial" w:hAnsi="Arial" w:cs="Times New Roman"/>
          <w:color w:val="222222"/>
        </w:rPr>
        <w:t>d’</w:t>
      </w:r>
      <w:r w:rsidRPr="005D4408">
        <w:rPr>
          <w:rFonts w:ascii="Arial" w:hAnsi="Arial" w:cs="Times New Roman"/>
          <w:color w:val="222222"/>
        </w:rPr>
        <w:t xml:space="preserve">un atelier </w:t>
      </w:r>
      <w:r>
        <w:rPr>
          <w:rFonts w:ascii="Arial" w:hAnsi="Arial" w:cs="Times New Roman"/>
          <w:color w:val="222222"/>
        </w:rPr>
        <w:t xml:space="preserve">scientifique </w:t>
      </w:r>
      <w:r w:rsidRPr="005D4408">
        <w:rPr>
          <w:rFonts w:ascii="Arial" w:hAnsi="Arial" w:cs="Times New Roman"/>
          <w:color w:val="222222"/>
        </w:rPr>
        <w:t xml:space="preserve">avec </w:t>
      </w:r>
      <w:r>
        <w:rPr>
          <w:rFonts w:ascii="Arial" w:hAnsi="Arial" w:cs="Times New Roman"/>
          <w:color w:val="222222"/>
        </w:rPr>
        <w:t xml:space="preserve">la participation de </w:t>
      </w:r>
      <w:r w:rsidRPr="005D4408">
        <w:rPr>
          <w:rFonts w:ascii="Arial" w:hAnsi="Arial" w:cs="Times New Roman"/>
          <w:color w:val="222222"/>
        </w:rPr>
        <w:t xml:space="preserve">l’ASPAM, organismes de développement </w:t>
      </w:r>
      <w:r>
        <w:rPr>
          <w:rFonts w:ascii="Arial" w:hAnsi="Arial" w:cs="Times New Roman"/>
          <w:color w:val="222222"/>
        </w:rPr>
        <w:t>et l’INRA</w:t>
      </w:r>
    </w:p>
    <w:p w14:paraId="5F76FDAE" w14:textId="7C94F093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color w:val="222222"/>
        </w:rPr>
        <w:t>Durant ce projet, toutes nos interventions ont été faites en concertation permanentes avec les organismes de développement (DRA ; ONCA, ASPAM). Le choix des agriculteurs s’est effectué grâce à leurs collaboration et interventions directes auprès des producteurs.</w:t>
      </w:r>
    </w:p>
    <w:p w14:paraId="72EEE99A" w14:textId="6E6AAE65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color w:val="222222"/>
        </w:rPr>
        <w:t>En outre, nous avons organisé un atelier, élargi le 26 Septembre 2017 au</w:t>
      </w:r>
      <w:r w:rsidRPr="005D4408">
        <w:rPr>
          <w:rFonts w:ascii="Arial" w:hAnsi="Arial" w:cs="Times New Roman"/>
          <w:color w:val="222222"/>
        </w:rPr>
        <w:t xml:space="preserve"> qualipôle de Berkane</w:t>
      </w:r>
      <w:r>
        <w:rPr>
          <w:rFonts w:ascii="Arial" w:hAnsi="Arial" w:cs="Times New Roman"/>
          <w:color w:val="222222"/>
        </w:rPr>
        <w:t xml:space="preserve"> où nous avons inclus d’autres interventions techniques. (Voir programme de la journée ci-dessous).</w:t>
      </w:r>
    </w:p>
    <w:p w14:paraId="5284C0A4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49DF2B9E" w14:textId="77777777" w:rsidR="00CA43BC" w:rsidRPr="00922B3C" w:rsidRDefault="00CA43BC" w:rsidP="00CA43B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2B3C">
        <w:rPr>
          <w:rFonts w:asciiTheme="majorBidi" w:hAnsiTheme="majorBidi" w:cstheme="majorBidi"/>
          <w:b/>
          <w:bCs/>
          <w:sz w:val="28"/>
          <w:szCs w:val="28"/>
        </w:rPr>
        <w:t>Programme de la journée scientifique sur la filière agrumes dans la plaine de Trifa.</w:t>
      </w:r>
    </w:p>
    <w:p w14:paraId="119936A6" w14:textId="77777777" w:rsidR="00CA43BC" w:rsidRDefault="00CA43BC" w:rsidP="00CA43B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2B3C">
        <w:rPr>
          <w:rFonts w:asciiTheme="majorBidi" w:hAnsiTheme="majorBidi" w:cstheme="majorBidi"/>
          <w:b/>
          <w:bCs/>
          <w:sz w:val="28"/>
          <w:szCs w:val="28"/>
        </w:rPr>
        <w:t>Mardi 26 Septembre 2017 - qualipôle de Berkane.</w:t>
      </w:r>
    </w:p>
    <w:p w14:paraId="3DD24783" w14:textId="77777777" w:rsidR="00CA43BC" w:rsidRPr="00922B3C" w:rsidRDefault="00CA43BC" w:rsidP="00CA43B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3119"/>
      </w:tblGrid>
      <w:tr w:rsidR="00CA43BC" w:rsidRPr="00922B3C" w14:paraId="66774F4E" w14:textId="77777777" w:rsidTr="00344388">
        <w:tc>
          <w:tcPr>
            <w:tcW w:w="1985" w:type="dxa"/>
            <w:vAlign w:val="center"/>
          </w:tcPr>
          <w:p w14:paraId="470E31D3" w14:textId="00283C79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:00</w:t>
            </w: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-10 :00</w:t>
            </w:r>
          </w:p>
        </w:tc>
        <w:tc>
          <w:tcPr>
            <w:tcW w:w="8080" w:type="dxa"/>
            <w:gridSpan w:val="2"/>
            <w:vAlign w:val="center"/>
          </w:tcPr>
          <w:p w14:paraId="069A3F34" w14:textId="77777777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Accueil des participants</w:t>
            </w:r>
          </w:p>
        </w:tc>
      </w:tr>
      <w:tr w:rsidR="00CA43BC" w:rsidRPr="007340E9" w14:paraId="49012493" w14:textId="77777777" w:rsidTr="00344388">
        <w:tc>
          <w:tcPr>
            <w:tcW w:w="1985" w:type="dxa"/>
            <w:vAlign w:val="center"/>
          </w:tcPr>
          <w:p w14:paraId="0A2A63FE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 :00- 10 :30</w:t>
            </w:r>
          </w:p>
        </w:tc>
        <w:tc>
          <w:tcPr>
            <w:tcW w:w="4961" w:type="dxa"/>
            <w:vAlign w:val="center"/>
          </w:tcPr>
          <w:p w14:paraId="174AB608" w14:textId="75D88892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Méthodologie adoptée dans le projet MCRDV : Détermination d'indicateurs de suivi et de gestion des ressources en eau des agrumes dans le périmètre irrigué de la plaine de Trifa</w:t>
            </w:r>
          </w:p>
        </w:tc>
        <w:tc>
          <w:tcPr>
            <w:tcW w:w="3119" w:type="dxa"/>
            <w:vAlign w:val="center"/>
          </w:tcPr>
          <w:p w14:paraId="28361192" w14:textId="77777777" w:rsidR="00CA43BC" w:rsidRPr="007340E9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>Dr</w:t>
            </w:r>
            <w:proofErr w:type="spellEnd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R. HADRIA, </w:t>
            </w:r>
          </w:p>
          <w:p w14:paraId="3D4CDE83" w14:textId="77777777" w:rsidR="00CA43BC" w:rsidRPr="007340E9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s-ES"/>
              </w:rPr>
            </w:pPr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INRA </w:t>
            </w:r>
            <w:proofErr w:type="spellStart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>Oujda</w:t>
            </w:r>
            <w:proofErr w:type="spellEnd"/>
          </w:p>
        </w:tc>
      </w:tr>
      <w:tr w:rsidR="00CA43BC" w:rsidRPr="00775400" w14:paraId="4F7FA9E9" w14:textId="77777777" w:rsidTr="00344388">
        <w:tc>
          <w:tcPr>
            <w:tcW w:w="1985" w:type="dxa"/>
            <w:vAlign w:val="center"/>
          </w:tcPr>
          <w:p w14:paraId="4BE50533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 :30-11 :00</w:t>
            </w:r>
          </w:p>
        </w:tc>
        <w:tc>
          <w:tcPr>
            <w:tcW w:w="4961" w:type="dxa"/>
            <w:vAlign w:val="center"/>
          </w:tcPr>
          <w:p w14:paraId="2C0561A7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 xml:space="preserve">Cartographie 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zones agrumicoles</w:t>
            </w:r>
            <w:r w:rsidRPr="00922B3C">
              <w:rPr>
                <w:rFonts w:asciiTheme="majorBidi" w:hAnsiTheme="majorBidi" w:cstheme="majorBidi"/>
                <w:sz w:val="24"/>
                <w:szCs w:val="24"/>
              </w:rPr>
              <w:t xml:space="preserve"> à partir des données de télédétection multi-échelle dans la plaine de Trifa.</w:t>
            </w:r>
          </w:p>
        </w:tc>
        <w:tc>
          <w:tcPr>
            <w:tcW w:w="3119" w:type="dxa"/>
            <w:vAlign w:val="center"/>
          </w:tcPr>
          <w:p w14:paraId="657FFB43" w14:textId="77777777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Pr. L. ELMANSOUR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922B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79D730FF" w14:textId="77777777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IAV Hassan II</w:t>
            </w:r>
          </w:p>
        </w:tc>
      </w:tr>
      <w:tr w:rsidR="00CA43BC" w:rsidRPr="00922B3C" w14:paraId="3C714E43" w14:textId="77777777" w:rsidTr="00344388">
        <w:tc>
          <w:tcPr>
            <w:tcW w:w="1985" w:type="dxa"/>
            <w:vAlign w:val="center"/>
          </w:tcPr>
          <w:p w14:paraId="6FA63279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 :00 - 11 :30</w:t>
            </w:r>
          </w:p>
        </w:tc>
        <w:tc>
          <w:tcPr>
            <w:tcW w:w="8080" w:type="dxa"/>
            <w:gridSpan w:val="2"/>
            <w:vAlign w:val="center"/>
          </w:tcPr>
          <w:p w14:paraId="55EB3C33" w14:textId="77777777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Pause-café</w:t>
            </w:r>
          </w:p>
        </w:tc>
      </w:tr>
      <w:tr w:rsidR="00CA43BC" w:rsidRPr="007340E9" w14:paraId="312996A1" w14:textId="77777777" w:rsidTr="00344388">
        <w:tc>
          <w:tcPr>
            <w:tcW w:w="1985" w:type="dxa"/>
            <w:vAlign w:val="center"/>
          </w:tcPr>
          <w:p w14:paraId="61D44318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 :30- 12 :00</w:t>
            </w:r>
          </w:p>
        </w:tc>
        <w:tc>
          <w:tcPr>
            <w:tcW w:w="4961" w:type="dxa"/>
            <w:vAlign w:val="center"/>
          </w:tcPr>
          <w:p w14:paraId="271ED8FF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 xml:space="preserve">Développement d’une méthode de dénombrement 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arbres d’</w:t>
            </w:r>
            <w:r w:rsidRPr="00922B3C">
              <w:rPr>
                <w:rFonts w:asciiTheme="majorBidi" w:hAnsiTheme="majorBidi" w:cstheme="majorBidi"/>
                <w:sz w:val="24"/>
                <w:szCs w:val="24"/>
              </w:rPr>
              <w:t>agrumes à base de l’image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rie très haute résolution</w:t>
            </w:r>
          </w:p>
        </w:tc>
        <w:tc>
          <w:tcPr>
            <w:tcW w:w="3119" w:type="dxa"/>
            <w:vAlign w:val="center"/>
          </w:tcPr>
          <w:p w14:paraId="657769FA" w14:textId="77777777" w:rsidR="00CA43BC" w:rsidRPr="007340E9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s-ES"/>
              </w:rPr>
            </w:pPr>
            <w:proofErr w:type="spellStart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>Dr</w:t>
            </w:r>
            <w:proofErr w:type="spellEnd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T. BENABDELOUAHAB, INRA Beni </w:t>
            </w:r>
            <w:proofErr w:type="spellStart"/>
            <w:r w:rsidRPr="007340E9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Mellal</w:t>
            </w:r>
            <w:proofErr w:type="spellEnd"/>
          </w:p>
        </w:tc>
      </w:tr>
      <w:tr w:rsidR="00CA43BC" w:rsidRPr="008C55C6" w14:paraId="24C6FD4C" w14:textId="77777777" w:rsidTr="00344388">
        <w:tc>
          <w:tcPr>
            <w:tcW w:w="1985" w:type="dxa"/>
            <w:vAlign w:val="center"/>
          </w:tcPr>
          <w:p w14:paraId="23846D2A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 :00 - 12 :30</w:t>
            </w:r>
          </w:p>
        </w:tc>
        <w:tc>
          <w:tcPr>
            <w:tcW w:w="4961" w:type="dxa"/>
            <w:vAlign w:val="center"/>
          </w:tcPr>
          <w:p w14:paraId="2A5CB375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Amélioration de la productivité et de la qualité de la clémentine ‘Berkane’ par le développement de la fertilisation foliaire potassique dans la région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l’Oriental</w:t>
            </w:r>
          </w:p>
        </w:tc>
        <w:tc>
          <w:tcPr>
            <w:tcW w:w="3119" w:type="dxa"/>
            <w:vAlign w:val="center"/>
          </w:tcPr>
          <w:p w14:paraId="415D691E" w14:textId="77777777" w:rsidR="00CA43BC" w:rsidRPr="00C25CDA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de-AT"/>
              </w:rPr>
            </w:pPr>
            <w:proofErr w:type="spellStart"/>
            <w:r w:rsidRPr="00C25CDA">
              <w:rPr>
                <w:rFonts w:asciiTheme="majorBidi" w:hAnsiTheme="majorBidi" w:cstheme="majorBidi"/>
                <w:sz w:val="24"/>
                <w:szCs w:val="24"/>
                <w:lang w:val="de-AT"/>
              </w:rPr>
              <w:t>Dr</w:t>
            </w:r>
            <w:proofErr w:type="spellEnd"/>
            <w:r w:rsidRPr="00C25CDA">
              <w:rPr>
                <w:rFonts w:asciiTheme="majorBidi" w:hAnsiTheme="majorBidi" w:cstheme="majorBidi"/>
                <w:sz w:val="24"/>
                <w:szCs w:val="24"/>
                <w:lang w:val="de-AT"/>
              </w:rPr>
              <w:t xml:space="preserve"> H. ABDELHAK,</w:t>
            </w:r>
          </w:p>
          <w:p w14:paraId="37968708" w14:textId="77777777" w:rsidR="00CA43BC" w:rsidRPr="00C25CDA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de-AT"/>
              </w:rPr>
            </w:pPr>
            <w:r w:rsidRPr="00C25CDA">
              <w:rPr>
                <w:rFonts w:asciiTheme="majorBidi" w:hAnsiTheme="majorBidi" w:cstheme="majorBidi"/>
                <w:sz w:val="24"/>
                <w:szCs w:val="24"/>
                <w:lang w:val="de-AT"/>
              </w:rPr>
              <w:t>INRA Kenitra</w:t>
            </w:r>
          </w:p>
        </w:tc>
      </w:tr>
      <w:tr w:rsidR="00CA43BC" w:rsidRPr="007340E9" w14:paraId="6EA62F00" w14:textId="77777777" w:rsidTr="00344388">
        <w:tc>
          <w:tcPr>
            <w:tcW w:w="1985" w:type="dxa"/>
            <w:vAlign w:val="center"/>
          </w:tcPr>
          <w:p w14:paraId="00F019B7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 :30 - 13 :00</w:t>
            </w:r>
          </w:p>
        </w:tc>
        <w:tc>
          <w:tcPr>
            <w:tcW w:w="4961" w:type="dxa"/>
            <w:vAlign w:val="center"/>
          </w:tcPr>
          <w:p w14:paraId="16173170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Approches biologiques de lutte pour une gestion intégrée de la mineuse des feuilles des agrumes</w:t>
            </w:r>
          </w:p>
        </w:tc>
        <w:tc>
          <w:tcPr>
            <w:tcW w:w="3119" w:type="dxa"/>
            <w:vAlign w:val="center"/>
          </w:tcPr>
          <w:p w14:paraId="12D052C2" w14:textId="77777777" w:rsidR="00CA43BC" w:rsidRPr="008C55C6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C55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Ir. K. KHFIF, </w:t>
            </w:r>
          </w:p>
          <w:p w14:paraId="5D039CE0" w14:textId="77777777" w:rsidR="00CA43BC" w:rsidRPr="008C55C6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 w:rsidRPr="008C55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INRA, Oujda</w:t>
            </w:r>
          </w:p>
        </w:tc>
      </w:tr>
      <w:tr w:rsidR="00CA43BC" w:rsidRPr="00922B3C" w14:paraId="063214D1" w14:textId="77777777" w:rsidTr="00344388">
        <w:tc>
          <w:tcPr>
            <w:tcW w:w="1985" w:type="dxa"/>
            <w:vAlign w:val="center"/>
          </w:tcPr>
          <w:p w14:paraId="786611A0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 :00 - 14 :00</w:t>
            </w:r>
          </w:p>
        </w:tc>
        <w:tc>
          <w:tcPr>
            <w:tcW w:w="8080" w:type="dxa"/>
            <w:gridSpan w:val="2"/>
            <w:vAlign w:val="center"/>
          </w:tcPr>
          <w:p w14:paraId="7EBF266D" w14:textId="77777777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Discussions/clôture</w:t>
            </w:r>
          </w:p>
        </w:tc>
      </w:tr>
      <w:tr w:rsidR="00CA43BC" w:rsidRPr="00922B3C" w14:paraId="19BED7F2" w14:textId="77777777" w:rsidTr="00344388">
        <w:tc>
          <w:tcPr>
            <w:tcW w:w="1985" w:type="dxa"/>
            <w:vAlign w:val="center"/>
          </w:tcPr>
          <w:p w14:paraId="4A555B16" w14:textId="77777777" w:rsidR="00CA43BC" w:rsidRPr="00922B3C" w:rsidRDefault="00CA43BC" w:rsidP="003443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 :00</w:t>
            </w:r>
          </w:p>
        </w:tc>
        <w:tc>
          <w:tcPr>
            <w:tcW w:w="8080" w:type="dxa"/>
            <w:gridSpan w:val="2"/>
            <w:vAlign w:val="center"/>
          </w:tcPr>
          <w:p w14:paraId="47942792" w14:textId="7C6AE5AF" w:rsidR="00CA43BC" w:rsidRPr="00922B3C" w:rsidRDefault="00CA43BC" w:rsidP="0034438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3C">
              <w:rPr>
                <w:rFonts w:asciiTheme="majorBidi" w:hAnsiTheme="majorBidi" w:cstheme="majorBidi"/>
                <w:sz w:val="24"/>
                <w:szCs w:val="24"/>
              </w:rPr>
              <w:t>Déjeuner</w:t>
            </w:r>
          </w:p>
        </w:tc>
      </w:tr>
    </w:tbl>
    <w:p w14:paraId="496F1277" w14:textId="77777777" w:rsidR="00CA43BC" w:rsidRPr="00922B3C" w:rsidRDefault="00CA43BC" w:rsidP="00CA43BC">
      <w:pPr>
        <w:jc w:val="center"/>
        <w:rPr>
          <w:b/>
          <w:bCs/>
          <w:sz w:val="28"/>
          <w:szCs w:val="28"/>
        </w:rPr>
      </w:pPr>
    </w:p>
    <w:p w14:paraId="452437DF" w14:textId="77777777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color w:val="222222"/>
        </w:rPr>
        <w:t xml:space="preserve">Cette journée scientifique a été organisée en collaboration avec l’autre équipe du projet coordonné par Dr. </w:t>
      </w:r>
      <w:proofErr w:type="spellStart"/>
      <w:r>
        <w:rPr>
          <w:rFonts w:ascii="Arial" w:hAnsi="Arial" w:cs="Times New Roman"/>
          <w:color w:val="222222"/>
        </w:rPr>
        <w:t>Hadria</w:t>
      </w:r>
      <w:proofErr w:type="spellEnd"/>
      <w:r>
        <w:rPr>
          <w:rFonts w:ascii="Arial" w:hAnsi="Arial" w:cs="Times New Roman"/>
          <w:color w:val="222222"/>
        </w:rPr>
        <w:t xml:space="preserve"> Rachid. </w:t>
      </w:r>
    </w:p>
    <w:p w14:paraId="19803B48" w14:textId="3E35E4C4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color w:val="222222"/>
        </w:rPr>
        <w:t>Cette journée a connu la présence de différents professionnels d’organismes de développement, de vulgarisation et des privés (ORMVAM, ONCA Régionale, Domaines Agricoles, Producteurs des agrumes, sociétés d’irrigation, de fertilisation, etc.) (Voir photos ci-dessous).</w:t>
      </w:r>
    </w:p>
    <w:p w14:paraId="676F07C1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298965B6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noProof/>
          <w:color w:val="222222"/>
        </w:rPr>
        <w:drawing>
          <wp:inline distT="0" distB="0" distL="0" distR="0" wp14:anchorId="161AB33E" wp14:editId="195B12DD">
            <wp:extent cx="5760720" cy="33451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FAE7E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4FA5D42A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27C93889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noProof/>
          <w:color w:val="222222"/>
        </w:rPr>
        <w:lastRenderedPageBreak/>
        <w:drawing>
          <wp:inline distT="0" distB="0" distL="0" distR="0" wp14:anchorId="55EF6ABF" wp14:editId="5CDEFFA5">
            <wp:extent cx="5760720" cy="381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A9B1C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796D7BFA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noProof/>
          <w:color w:val="222222"/>
        </w:rPr>
        <w:drawing>
          <wp:inline distT="0" distB="0" distL="0" distR="0" wp14:anchorId="72024A1C" wp14:editId="5CE206F6">
            <wp:extent cx="5760720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A1AEE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68281911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65567DB6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42219578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1D6FFB15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6C0009FA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noProof/>
          <w:color w:val="222222"/>
        </w:rPr>
        <w:lastRenderedPageBreak/>
        <w:drawing>
          <wp:inline distT="0" distB="0" distL="0" distR="0" wp14:anchorId="6631EFB2" wp14:editId="24C561D2">
            <wp:extent cx="5760720" cy="381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BA23F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7FDC3069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noProof/>
          <w:color w:val="222222"/>
        </w:rPr>
        <w:drawing>
          <wp:inline distT="0" distB="0" distL="0" distR="0" wp14:anchorId="43468D2E" wp14:editId="04A2FA07">
            <wp:extent cx="5760720" cy="381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A3111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7C793C01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51FFE29B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60A5320B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3C7DB2C1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3D3F5906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42471CE3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3D2C04E9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5CC52D51" w14:textId="10CCCA1F" w:rsidR="00CA43BC" w:rsidRDefault="00CA43BC" w:rsidP="00CA43BC">
      <w:pPr>
        <w:spacing w:line="360" w:lineRule="auto"/>
        <w:jc w:val="both"/>
        <w:rPr>
          <w:rFonts w:ascii="Arial" w:hAnsi="Arial" w:cs="Times New Roman"/>
          <w:color w:val="222222"/>
        </w:rPr>
      </w:pPr>
      <w:r>
        <w:rPr>
          <w:rFonts w:ascii="Arial" w:hAnsi="Arial" w:cs="Times New Roman"/>
          <w:color w:val="222222"/>
        </w:rPr>
        <w:t xml:space="preserve">En ce qui concerne le choix des sites des essais, il a été dicté principalement par l’accord du producteur à s’engager pour le déroulement de l’essai, durant les trois années, en respectant les conditions que nous avons fixées à priori, à savoir, la prise des échantillons (feuilles, sol, fruits) et l’accès des agrumiculteurs et la profession aux essais de démonstration la troisième année. </w:t>
      </w:r>
    </w:p>
    <w:p w14:paraId="136871FE" w14:textId="77777777" w:rsidR="00CA43BC" w:rsidRDefault="00CA43BC" w:rsidP="00CA43BC">
      <w:pPr>
        <w:jc w:val="both"/>
        <w:rPr>
          <w:rFonts w:ascii="Arial" w:hAnsi="Arial" w:cs="Times New Roman"/>
          <w:color w:val="222222"/>
        </w:rPr>
      </w:pPr>
    </w:p>
    <w:p w14:paraId="44C414C7" w14:textId="77777777" w:rsidR="002F543E" w:rsidRDefault="002F543E"/>
    <w:sectPr w:rsidR="002F543E" w:rsidSect="003311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C"/>
    <w:rsid w:val="002F543E"/>
    <w:rsid w:val="003311A6"/>
    <w:rsid w:val="00763C66"/>
    <w:rsid w:val="00C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DBD5"/>
  <w15:chartTrackingRefBased/>
  <w15:docId w15:val="{35AD270B-0540-8E4A-93C7-F7030130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BC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3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Abdelhak Hamza</dc:creator>
  <cp:keywords/>
  <dc:description/>
  <cp:lastModifiedBy>EL Moussadek EL AOUFIR</cp:lastModifiedBy>
  <cp:revision>2</cp:revision>
  <dcterms:created xsi:type="dcterms:W3CDTF">2022-06-10T09:26:00Z</dcterms:created>
  <dcterms:modified xsi:type="dcterms:W3CDTF">2022-06-10T09:26:00Z</dcterms:modified>
</cp:coreProperties>
</file>